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D14145">
      <w:pPr>
        <w:spacing w:line="360" w:lineRule="auto"/>
        <w:rPr>
          <w:rFonts w:ascii="宋体" w:hAnsi="宋体"/>
          <w:caps w:val="0"/>
          <w:color w:val="auto"/>
          <w:spacing w:val="0"/>
          <w:position w:val="0"/>
          <w:highlight w:val="none"/>
        </w:rPr>
      </w:pPr>
      <w:bookmarkStart w:id="0" w:name="_Toc131956860"/>
      <w:r>
        <w:rPr>
          <w:rFonts w:hint="eastAsia" w:ascii="宋体" w:hAnsi="宋体"/>
          <w:caps w:val="0"/>
          <w:color w:val="auto"/>
          <w:spacing w:val="0"/>
          <w:position w:val="0"/>
          <w:sz w:val="24"/>
          <w:highlight w:val="none"/>
        </w:rPr>
        <w:t>附件2：评标办法</w:t>
      </w:r>
      <w:bookmarkEnd w:id="0"/>
    </w:p>
    <w:p w14:paraId="4E4334B3">
      <w:pPr>
        <w:pStyle w:val="2"/>
        <w:adjustRightInd w:val="0"/>
        <w:snapToGrid w:val="0"/>
        <w:spacing w:before="0" w:after="0" w:line="360" w:lineRule="auto"/>
        <w:jc w:val="center"/>
        <w:rPr>
          <w:rFonts w:ascii="宋体" w:hAnsi="宋体" w:eastAsia="宋体"/>
          <w:caps w:val="0"/>
          <w:color w:val="auto"/>
          <w:spacing w:val="0"/>
          <w:position w:val="0"/>
          <w:sz w:val="24"/>
          <w:szCs w:val="24"/>
          <w:highlight w:val="none"/>
        </w:rPr>
      </w:pPr>
      <w:r>
        <w:rPr>
          <w:rFonts w:hint="eastAsia" w:ascii="宋体" w:hAnsi="宋体" w:eastAsia="宋体"/>
          <w:caps w:val="0"/>
          <w:color w:val="auto"/>
          <w:spacing w:val="0"/>
          <w:position w:val="0"/>
          <w:sz w:val="24"/>
          <w:szCs w:val="24"/>
          <w:highlight w:val="none"/>
        </w:rPr>
        <w:t>评标办法前附表</w:t>
      </w:r>
    </w:p>
    <w:tbl>
      <w:tblPr>
        <w:tblStyle w:val="7"/>
        <w:tblW w:w="103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56"/>
        <w:gridCol w:w="1124"/>
        <w:gridCol w:w="1213"/>
        <w:gridCol w:w="321"/>
        <w:gridCol w:w="765"/>
        <w:gridCol w:w="2761"/>
        <w:gridCol w:w="1858"/>
        <w:gridCol w:w="1398"/>
      </w:tblGrid>
      <w:tr w14:paraId="478F2E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4" w:hRule="atLeast"/>
          <w:tblHeader/>
          <w:jc w:val="center"/>
        </w:trPr>
        <w:tc>
          <w:tcPr>
            <w:tcW w:w="956" w:type="dxa"/>
            <w:tcBorders>
              <w:top w:val="single" w:color="auto" w:sz="4" w:space="0"/>
              <w:bottom w:val="single" w:color="auto" w:sz="4" w:space="0"/>
              <w:right w:val="single" w:color="auto" w:sz="4" w:space="0"/>
            </w:tcBorders>
            <w:noWrap w:val="0"/>
            <w:vAlign w:val="center"/>
          </w:tcPr>
          <w:p w14:paraId="0EF55823">
            <w:pPr>
              <w:keepNext w:val="0"/>
              <w:keepLines w:val="0"/>
              <w:pageBreakBefore w:val="0"/>
              <w:widowControl w:val="0"/>
              <w:kinsoku/>
              <w:wordWrap/>
              <w:overflowPunct/>
              <w:topLinePunct w:val="0"/>
              <w:bidi w:val="0"/>
              <w:adjustRightInd/>
              <w:snapToGrid/>
              <w:spacing w:line="288" w:lineRule="auto"/>
              <w:jc w:val="center"/>
              <w:textAlignment w:val="baseline"/>
              <w:rPr>
                <w:rFonts w:ascii="宋体" w:hAnsi="宋体"/>
                <w:caps w:val="0"/>
                <w:color w:val="auto"/>
                <w:spacing w:val="0"/>
                <w:position w:val="0"/>
                <w:szCs w:val="21"/>
                <w:highlight w:val="none"/>
              </w:rPr>
            </w:pPr>
            <w:r>
              <w:rPr>
                <w:szCs w:val="21"/>
                <w:highlight w:val="none"/>
              </w:rPr>
              <w:t>条款号</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244513F4">
            <w:pPr>
              <w:keepNext w:val="0"/>
              <w:keepLines w:val="0"/>
              <w:pageBreakBefore w:val="0"/>
              <w:widowControl w:val="0"/>
              <w:kinsoku/>
              <w:wordWrap/>
              <w:overflowPunct/>
              <w:topLinePunct w:val="0"/>
              <w:bidi w:val="0"/>
              <w:adjustRightInd/>
              <w:snapToGrid/>
              <w:spacing w:line="288" w:lineRule="auto"/>
              <w:jc w:val="center"/>
              <w:textAlignment w:val="baseline"/>
              <w:rPr>
                <w:rFonts w:ascii="宋体" w:hAnsi="宋体"/>
                <w:caps w:val="0"/>
                <w:color w:val="auto"/>
                <w:spacing w:val="0"/>
                <w:position w:val="0"/>
                <w:szCs w:val="21"/>
                <w:highlight w:val="none"/>
              </w:rPr>
            </w:pPr>
            <w:r>
              <w:rPr>
                <w:szCs w:val="21"/>
                <w:highlight w:val="none"/>
              </w:rPr>
              <w:t>条款名称</w:t>
            </w:r>
          </w:p>
        </w:tc>
        <w:tc>
          <w:tcPr>
            <w:tcW w:w="8316" w:type="dxa"/>
            <w:gridSpan w:val="6"/>
            <w:tcBorders>
              <w:top w:val="single" w:color="auto" w:sz="4" w:space="0"/>
              <w:left w:val="single" w:color="auto" w:sz="4" w:space="0"/>
              <w:bottom w:val="single" w:color="auto" w:sz="4" w:space="0"/>
              <w:right w:val="single" w:color="auto" w:sz="4" w:space="0"/>
            </w:tcBorders>
            <w:noWrap w:val="0"/>
            <w:vAlign w:val="bottom"/>
          </w:tcPr>
          <w:p w14:paraId="197B803E">
            <w:pPr>
              <w:keepNext w:val="0"/>
              <w:keepLines w:val="0"/>
              <w:pageBreakBefore w:val="0"/>
              <w:widowControl w:val="0"/>
              <w:kinsoku/>
              <w:wordWrap/>
              <w:overflowPunct/>
              <w:topLinePunct w:val="0"/>
              <w:bidi w:val="0"/>
              <w:adjustRightInd/>
              <w:snapToGrid/>
              <w:spacing w:line="288" w:lineRule="auto"/>
              <w:jc w:val="center"/>
              <w:rPr>
                <w:rFonts w:ascii="宋体" w:hAnsi="宋体"/>
                <w:caps w:val="0"/>
                <w:color w:val="auto"/>
                <w:spacing w:val="0"/>
                <w:position w:val="0"/>
                <w:szCs w:val="21"/>
                <w:highlight w:val="none"/>
              </w:rPr>
            </w:pPr>
            <w:r>
              <w:rPr>
                <w:szCs w:val="21"/>
                <w:highlight w:val="none"/>
              </w:rPr>
              <w:t>评审因素与评审标准</w:t>
            </w:r>
          </w:p>
        </w:tc>
      </w:tr>
      <w:tr w14:paraId="283EE2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6" w:type="dxa"/>
            <w:tcBorders>
              <w:top w:val="single" w:color="auto" w:sz="4" w:space="0"/>
              <w:bottom w:val="single" w:color="auto" w:sz="4" w:space="0"/>
              <w:right w:val="single" w:color="auto" w:sz="4" w:space="0"/>
            </w:tcBorders>
            <w:noWrap w:val="0"/>
            <w:vAlign w:val="center"/>
          </w:tcPr>
          <w:p w14:paraId="4D4B60FF">
            <w:pPr>
              <w:keepNext w:val="0"/>
              <w:keepLines w:val="0"/>
              <w:pageBreakBefore w:val="0"/>
              <w:widowControl w:val="0"/>
              <w:kinsoku/>
              <w:wordWrap/>
              <w:overflowPunct/>
              <w:topLinePunct w:val="0"/>
              <w:bidi w:val="0"/>
              <w:adjustRightInd/>
              <w:snapToGrid/>
              <w:spacing w:line="288" w:lineRule="auto"/>
              <w:ind w:left="0" w:right="0"/>
              <w:jc w:val="center"/>
              <w:textAlignment w:val="auto"/>
              <w:rPr>
                <w:rFonts w:ascii="宋体" w:hAnsi="宋体"/>
                <w:caps w:val="0"/>
                <w:color w:val="auto"/>
                <w:spacing w:val="0"/>
                <w:position w:val="0"/>
                <w:szCs w:val="21"/>
                <w:highlight w:val="none"/>
              </w:rPr>
            </w:pPr>
            <w:r>
              <w:rPr>
                <w:rFonts w:hint="eastAsia" w:ascii="宋体" w:hAnsi="宋体"/>
                <w:caps w:val="0"/>
                <w:color w:val="auto"/>
                <w:spacing w:val="0"/>
                <w:position w:val="0"/>
                <w:szCs w:val="21"/>
                <w:highlight w:val="none"/>
              </w:rPr>
              <w:t>1</w:t>
            </w:r>
          </w:p>
        </w:tc>
        <w:tc>
          <w:tcPr>
            <w:tcW w:w="1124" w:type="dxa"/>
            <w:tcBorders>
              <w:top w:val="single" w:color="auto" w:sz="4" w:space="0"/>
              <w:left w:val="single" w:color="auto" w:sz="4" w:space="0"/>
              <w:bottom w:val="single" w:color="auto" w:sz="4" w:space="0"/>
              <w:right w:val="single" w:color="auto" w:sz="4" w:space="0"/>
            </w:tcBorders>
            <w:noWrap w:val="0"/>
            <w:vAlign w:val="center"/>
          </w:tcPr>
          <w:p w14:paraId="1510D6B0">
            <w:pPr>
              <w:keepNext w:val="0"/>
              <w:keepLines w:val="0"/>
              <w:pageBreakBefore w:val="0"/>
              <w:widowControl w:val="0"/>
              <w:kinsoku/>
              <w:wordWrap/>
              <w:overflowPunct/>
              <w:topLinePunct w:val="0"/>
              <w:bidi w:val="0"/>
              <w:adjustRightInd/>
              <w:snapToGrid/>
              <w:spacing w:line="288" w:lineRule="auto"/>
              <w:ind w:left="0" w:right="0"/>
              <w:jc w:val="center"/>
              <w:textAlignment w:val="auto"/>
              <w:rPr>
                <w:rFonts w:ascii="宋体" w:hAnsi="宋体"/>
                <w:caps w:val="0"/>
                <w:color w:val="auto"/>
                <w:spacing w:val="0"/>
                <w:position w:val="0"/>
                <w:szCs w:val="21"/>
                <w:highlight w:val="none"/>
              </w:rPr>
            </w:pPr>
            <w:r>
              <w:rPr>
                <w:rFonts w:hint="eastAsia" w:ascii="宋体" w:hAnsi="宋体"/>
                <w:caps w:val="0"/>
                <w:color w:val="auto"/>
                <w:spacing w:val="0"/>
                <w:position w:val="0"/>
                <w:szCs w:val="21"/>
                <w:highlight w:val="none"/>
              </w:rPr>
              <w:t>评标办法</w:t>
            </w:r>
          </w:p>
        </w:tc>
        <w:tc>
          <w:tcPr>
            <w:tcW w:w="8316" w:type="dxa"/>
            <w:gridSpan w:val="6"/>
            <w:tcBorders>
              <w:top w:val="single" w:color="auto" w:sz="4" w:space="0"/>
              <w:left w:val="single" w:color="auto" w:sz="4" w:space="0"/>
              <w:bottom w:val="single" w:color="auto" w:sz="4" w:space="0"/>
              <w:right w:val="single" w:color="auto" w:sz="4" w:space="0"/>
            </w:tcBorders>
            <w:noWrap w:val="0"/>
            <w:vAlign w:val="center"/>
          </w:tcPr>
          <w:p w14:paraId="09AF404E">
            <w:pPr>
              <w:keepNext w:val="0"/>
              <w:keepLines w:val="0"/>
              <w:pageBreakBefore w:val="0"/>
              <w:widowControl w:val="0"/>
              <w:kinsoku/>
              <w:wordWrap/>
              <w:overflowPunct/>
              <w:topLinePunct w:val="0"/>
              <w:bidi w:val="0"/>
              <w:adjustRightInd/>
              <w:snapToGrid/>
              <w:spacing w:line="288" w:lineRule="auto"/>
              <w:ind w:left="0" w:right="0"/>
              <w:textAlignment w:val="auto"/>
              <w:rPr>
                <w:rFonts w:ascii="宋体" w:hAnsi="宋体"/>
                <w:caps w:val="0"/>
                <w:color w:val="auto"/>
                <w:spacing w:val="0"/>
                <w:position w:val="0"/>
                <w:szCs w:val="21"/>
                <w:highlight w:val="none"/>
              </w:rPr>
            </w:pPr>
            <w:r>
              <w:rPr>
                <w:rFonts w:hint="eastAsia" w:ascii="宋体" w:hAnsi="宋体"/>
                <w:caps w:val="0"/>
                <w:color w:val="auto"/>
                <w:spacing w:val="0"/>
                <w:position w:val="0"/>
                <w:szCs w:val="21"/>
                <w:highlight w:val="none"/>
              </w:rPr>
              <w:t>本次评标采用综合评估法。评标委员会对满足招标文件实质性要求的投标文件，按照本章第 2.2 款规定的评分标准进行打分，并按综合得分由高到低顺序推荐 1</w:t>
            </w:r>
            <w:r>
              <w:rPr>
                <w:rFonts w:hint="eastAsia" w:ascii="宋体" w:hAnsi="宋体"/>
                <w:caps w:val="0"/>
                <w:color w:val="auto"/>
                <w:spacing w:val="0"/>
                <w:position w:val="0"/>
                <w:szCs w:val="21"/>
                <w:highlight w:val="none"/>
                <w:lang w:val="en-US" w:eastAsia="zh-CN"/>
              </w:rPr>
              <w:t>-</w:t>
            </w:r>
            <w:r>
              <w:rPr>
                <w:rFonts w:hint="eastAsia" w:ascii="宋体" w:hAnsi="宋体"/>
                <w:caps w:val="0"/>
                <w:color w:val="auto"/>
                <w:spacing w:val="0"/>
                <w:position w:val="0"/>
                <w:szCs w:val="21"/>
                <w:highlight w:val="none"/>
              </w:rPr>
              <w:t xml:space="preserve">3 名中标候选人。综合评分相等时，评标委员会依次按照以下优先顺序推荐中标候选人： </w:t>
            </w:r>
          </w:p>
          <w:p w14:paraId="24DE8D5B">
            <w:pPr>
              <w:keepNext w:val="0"/>
              <w:keepLines w:val="0"/>
              <w:pageBreakBefore w:val="0"/>
              <w:widowControl w:val="0"/>
              <w:kinsoku/>
              <w:wordWrap/>
              <w:overflowPunct/>
              <w:topLinePunct w:val="0"/>
              <w:bidi w:val="0"/>
              <w:adjustRightInd/>
              <w:snapToGrid/>
              <w:spacing w:line="288" w:lineRule="auto"/>
              <w:ind w:left="0" w:right="0"/>
              <w:textAlignment w:val="auto"/>
              <w:rPr>
                <w:rFonts w:ascii="宋体" w:hAnsi="宋体"/>
                <w:caps w:val="0"/>
                <w:color w:val="auto"/>
                <w:spacing w:val="0"/>
                <w:position w:val="0"/>
                <w:szCs w:val="21"/>
                <w:highlight w:val="none"/>
              </w:rPr>
            </w:pPr>
            <w:r>
              <w:rPr>
                <w:rFonts w:hint="eastAsia" w:ascii="宋体" w:hAnsi="宋体"/>
                <w:caps w:val="0"/>
                <w:color w:val="auto"/>
                <w:spacing w:val="0"/>
                <w:position w:val="0"/>
                <w:szCs w:val="21"/>
                <w:highlight w:val="none"/>
              </w:rPr>
              <w:t>（1）评标价低的投标人优先；</w:t>
            </w:r>
          </w:p>
          <w:p w14:paraId="51ACAFAA">
            <w:pPr>
              <w:keepNext w:val="0"/>
              <w:keepLines w:val="0"/>
              <w:pageBreakBefore w:val="0"/>
              <w:widowControl w:val="0"/>
              <w:kinsoku/>
              <w:wordWrap/>
              <w:overflowPunct/>
              <w:topLinePunct w:val="0"/>
              <w:bidi w:val="0"/>
              <w:adjustRightInd/>
              <w:snapToGrid/>
              <w:spacing w:line="288" w:lineRule="auto"/>
              <w:ind w:left="0" w:right="0"/>
              <w:textAlignment w:val="auto"/>
              <w:rPr>
                <w:rFonts w:ascii="宋体" w:hAnsi="宋体"/>
                <w:caps w:val="0"/>
                <w:color w:val="auto"/>
                <w:spacing w:val="0"/>
                <w:position w:val="0"/>
                <w:szCs w:val="21"/>
                <w:highlight w:val="none"/>
              </w:rPr>
            </w:pPr>
            <w:r>
              <w:rPr>
                <w:rFonts w:hint="eastAsia" w:ascii="宋体" w:hAnsi="宋体"/>
                <w:caps w:val="0"/>
                <w:color w:val="auto"/>
                <w:spacing w:val="0"/>
                <w:position w:val="0"/>
                <w:szCs w:val="21"/>
                <w:highlight w:val="none"/>
              </w:rPr>
              <w:t>（2）</w:t>
            </w:r>
            <w:r>
              <w:rPr>
                <w:rFonts w:hint="eastAsia" w:ascii="宋体" w:hAnsi="宋体" w:cs="宋体"/>
                <w:caps w:val="0"/>
                <w:color w:val="auto"/>
                <w:spacing w:val="0"/>
                <w:position w:val="0"/>
                <w:szCs w:val="21"/>
                <w:highlight w:val="none"/>
              </w:rPr>
              <w:t>承包人实施方案</w:t>
            </w:r>
            <w:r>
              <w:rPr>
                <w:rFonts w:hint="eastAsia" w:ascii="宋体" w:hAnsi="宋体"/>
                <w:caps w:val="0"/>
                <w:color w:val="auto"/>
                <w:spacing w:val="0"/>
                <w:position w:val="0"/>
                <w:szCs w:val="21"/>
                <w:highlight w:val="none"/>
              </w:rPr>
              <w:t>得分较高的投标人优先；</w:t>
            </w:r>
          </w:p>
          <w:p w14:paraId="63CB4F0C">
            <w:pPr>
              <w:keepNext w:val="0"/>
              <w:keepLines w:val="0"/>
              <w:pageBreakBefore w:val="0"/>
              <w:widowControl w:val="0"/>
              <w:kinsoku/>
              <w:wordWrap/>
              <w:overflowPunct/>
              <w:topLinePunct w:val="0"/>
              <w:bidi w:val="0"/>
              <w:adjustRightInd/>
              <w:snapToGrid/>
              <w:spacing w:line="288" w:lineRule="auto"/>
              <w:ind w:left="0" w:right="0"/>
              <w:textAlignment w:val="auto"/>
              <w:rPr>
                <w:rFonts w:ascii="宋体" w:hAnsi="宋体"/>
                <w:caps w:val="0"/>
                <w:color w:val="auto"/>
                <w:spacing w:val="0"/>
                <w:position w:val="0"/>
                <w:szCs w:val="21"/>
                <w:highlight w:val="none"/>
              </w:rPr>
            </w:pPr>
            <w:r>
              <w:rPr>
                <w:rFonts w:hint="eastAsia" w:ascii="宋体" w:hAnsi="宋体"/>
                <w:caps w:val="0"/>
                <w:color w:val="auto"/>
                <w:spacing w:val="0"/>
                <w:position w:val="0"/>
                <w:szCs w:val="21"/>
                <w:highlight w:val="none"/>
              </w:rPr>
              <w:t>（3）满足资格审查条件(业绩最低要求)要求的业绩累计合同金额高的优先。</w:t>
            </w:r>
          </w:p>
        </w:tc>
      </w:tr>
      <w:tr w14:paraId="696B4E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2" w:hRule="atLeast"/>
          <w:jc w:val="center"/>
        </w:trPr>
        <w:tc>
          <w:tcPr>
            <w:tcW w:w="956" w:type="dxa"/>
            <w:tcBorders>
              <w:top w:val="single" w:color="auto" w:sz="4" w:space="0"/>
              <w:right w:val="single" w:color="auto" w:sz="4" w:space="0"/>
            </w:tcBorders>
            <w:noWrap w:val="0"/>
            <w:vAlign w:val="center"/>
          </w:tcPr>
          <w:p w14:paraId="32EC72DD">
            <w:pPr>
              <w:pStyle w:val="6"/>
              <w:keepNext w:val="0"/>
              <w:keepLines w:val="0"/>
              <w:pageBreakBefore w:val="0"/>
              <w:widowControl w:val="0"/>
              <w:kinsoku/>
              <w:wordWrap/>
              <w:overflowPunct/>
              <w:topLinePunct w:val="0"/>
              <w:bidi w:val="0"/>
              <w:adjustRightInd/>
              <w:snapToGrid/>
              <w:spacing w:line="288" w:lineRule="auto"/>
              <w:jc w:val="center"/>
              <w:rPr>
                <w:rFonts w:hAnsi="宋体" w:cs="宋体"/>
                <w:color w:val="auto"/>
                <w:szCs w:val="21"/>
                <w:highlight w:val="none"/>
              </w:rPr>
            </w:pPr>
            <w:r>
              <w:rPr>
                <w:rFonts w:hint="eastAsia" w:hAnsi="宋体" w:cs="宋体"/>
                <w:color w:val="auto"/>
                <w:szCs w:val="21"/>
                <w:highlight w:val="none"/>
              </w:rPr>
              <w:t>2.1.1</w:t>
            </w:r>
          </w:p>
          <w:p w14:paraId="5FD9EE7D">
            <w:pPr>
              <w:pStyle w:val="6"/>
              <w:keepNext w:val="0"/>
              <w:keepLines w:val="0"/>
              <w:pageBreakBefore w:val="0"/>
              <w:widowControl w:val="0"/>
              <w:kinsoku/>
              <w:wordWrap/>
              <w:overflowPunct/>
              <w:topLinePunct w:val="0"/>
              <w:bidi w:val="0"/>
              <w:adjustRightInd/>
              <w:snapToGrid/>
              <w:spacing w:line="288" w:lineRule="auto"/>
              <w:jc w:val="center"/>
              <w:rPr>
                <w:rFonts w:ascii="宋体" w:hAnsi="宋体"/>
                <w:caps w:val="0"/>
                <w:color w:val="auto"/>
                <w:spacing w:val="0"/>
                <w:position w:val="0"/>
                <w:szCs w:val="21"/>
                <w:highlight w:val="none"/>
              </w:rPr>
            </w:pPr>
            <w:r>
              <w:rPr>
                <w:rFonts w:hint="eastAsia" w:hAnsi="宋体" w:cs="宋体"/>
                <w:color w:val="auto"/>
                <w:szCs w:val="21"/>
                <w:highlight w:val="none"/>
              </w:rPr>
              <w:t>2</w:t>
            </w:r>
            <w:r>
              <w:rPr>
                <w:rFonts w:hAnsi="宋体" w:cs="宋体"/>
                <w:color w:val="auto"/>
                <w:szCs w:val="21"/>
                <w:highlight w:val="none"/>
              </w:rPr>
              <w:t>.1.3</w:t>
            </w:r>
          </w:p>
        </w:tc>
        <w:tc>
          <w:tcPr>
            <w:tcW w:w="1124" w:type="dxa"/>
            <w:tcBorders>
              <w:top w:val="single" w:color="auto" w:sz="4" w:space="0"/>
              <w:right w:val="single" w:color="auto" w:sz="4" w:space="0"/>
            </w:tcBorders>
            <w:noWrap w:val="0"/>
            <w:vAlign w:val="center"/>
          </w:tcPr>
          <w:p w14:paraId="4A4D8FC1">
            <w:pPr>
              <w:pStyle w:val="6"/>
              <w:keepNext w:val="0"/>
              <w:keepLines w:val="0"/>
              <w:pageBreakBefore w:val="0"/>
              <w:widowControl w:val="0"/>
              <w:kinsoku/>
              <w:wordWrap/>
              <w:overflowPunct/>
              <w:topLinePunct w:val="0"/>
              <w:bidi w:val="0"/>
              <w:adjustRightInd/>
              <w:snapToGrid/>
              <w:spacing w:line="288" w:lineRule="auto"/>
              <w:rPr>
                <w:rFonts w:ascii="宋体" w:hAnsi="宋体"/>
                <w:caps w:val="0"/>
                <w:color w:val="auto"/>
                <w:spacing w:val="0"/>
                <w:position w:val="0"/>
                <w:szCs w:val="21"/>
                <w:highlight w:val="none"/>
              </w:rPr>
            </w:pPr>
            <w:r>
              <w:rPr>
                <w:rFonts w:hint="eastAsia" w:cs="宋体"/>
                <w:color w:val="auto"/>
                <w:szCs w:val="21"/>
                <w:highlight w:val="none"/>
              </w:rPr>
              <w:t>形式评审与响应性评审标准</w:t>
            </w:r>
          </w:p>
        </w:tc>
        <w:tc>
          <w:tcPr>
            <w:tcW w:w="8316" w:type="dxa"/>
            <w:gridSpan w:val="6"/>
            <w:tcBorders>
              <w:top w:val="single" w:color="auto" w:sz="4" w:space="0"/>
              <w:left w:val="single" w:color="auto" w:sz="4" w:space="0"/>
              <w:bottom w:val="single" w:color="auto" w:sz="4" w:space="0"/>
              <w:right w:val="single" w:color="auto" w:sz="4" w:space="0"/>
            </w:tcBorders>
            <w:noWrap w:val="0"/>
            <w:vAlign w:val="center"/>
          </w:tcPr>
          <w:p w14:paraId="08E0A45B">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eastAsia" w:cs="宋体"/>
                <w:b/>
                <w:bCs/>
                <w:color w:val="auto"/>
                <w:szCs w:val="21"/>
                <w:highlight w:val="none"/>
                <w:lang w:val="en-US" w:eastAsia="zh-CN"/>
              </w:rPr>
            </w:pPr>
            <w:r>
              <w:rPr>
                <w:rFonts w:hint="eastAsia" w:cs="宋体"/>
                <w:b/>
                <w:bCs/>
                <w:color w:val="auto"/>
                <w:szCs w:val="21"/>
                <w:highlight w:val="none"/>
                <w:lang w:val="en-US" w:eastAsia="zh-CN"/>
              </w:rPr>
              <w:t>明标部分</w:t>
            </w:r>
          </w:p>
          <w:p w14:paraId="7361FB7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（1）投标文件按照招标文件规定的格式、内容填写，字迹清晰可辨：</w:t>
            </w:r>
          </w:p>
          <w:p w14:paraId="5EF1024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a. 投标函按招标文件规定填报了项目名称、补遗书编号（如有）、质量标准</w:t>
            </w:r>
            <w:r>
              <w:rPr>
                <w:rFonts w:hint="eastAsia" w:cs="宋体"/>
                <w:color w:val="auto"/>
                <w:szCs w:val="21"/>
                <w:highlight w:val="none"/>
                <w:lang w:eastAsia="zh-CN"/>
              </w:rPr>
              <w:t>、</w:t>
            </w:r>
            <w:r>
              <w:rPr>
                <w:rFonts w:hint="eastAsia" w:asciiTheme="majorEastAsia" w:hAnsiTheme="majorEastAsia" w:eastAsiaTheme="majorEastAsia" w:cstheme="majorEastAsia"/>
                <w:caps w:val="0"/>
                <w:color w:val="auto"/>
                <w:spacing w:val="0"/>
                <w:position w:val="0"/>
                <w:szCs w:val="21"/>
                <w:highlight w:val="none"/>
              </w:rPr>
              <w:t>安全目标</w:t>
            </w:r>
            <w:r>
              <w:rPr>
                <w:rFonts w:hint="eastAsia" w:asciiTheme="majorEastAsia" w:hAnsiTheme="majorEastAsia" w:eastAsiaTheme="majorEastAsia" w:cstheme="majorEastAsia"/>
                <w:caps w:val="0"/>
                <w:color w:val="auto"/>
                <w:spacing w:val="0"/>
                <w:position w:val="0"/>
                <w:szCs w:val="21"/>
                <w:highlight w:val="none"/>
                <w:lang w:eastAsia="zh-CN"/>
              </w:rPr>
              <w:t>、项目</w:t>
            </w:r>
            <w:r>
              <w:rPr>
                <w:rFonts w:hint="eastAsia" w:cs="宋体"/>
                <w:color w:val="auto"/>
                <w:szCs w:val="21"/>
                <w:highlight w:val="none"/>
              </w:rPr>
              <w:t>工期、项目经理、</w:t>
            </w:r>
            <w:r>
              <w:rPr>
                <w:rFonts w:hint="eastAsia" w:cs="宋体"/>
                <w:color w:val="auto"/>
                <w:szCs w:val="21"/>
                <w:highlight w:val="none"/>
                <w:lang w:val="en-US" w:eastAsia="zh-CN"/>
              </w:rPr>
              <w:t>设计负责人、施工负责人、</w:t>
            </w:r>
            <w:r>
              <w:rPr>
                <w:rFonts w:hint="eastAsia"/>
                <w:bCs/>
                <w:color w:val="auto"/>
                <w:szCs w:val="21"/>
                <w:highlight w:val="none"/>
              </w:rPr>
              <w:t>投标价（包括大写金额和小写金额）；</w:t>
            </w:r>
          </w:p>
          <w:p w14:paraId="3EC7598E">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cs="宋体"/>
                <w:color w:val="auto"/>
                <w:szCs w:val="21"/>
                <w:highlight w:val="none"/>
                <w:lang w:bidi="ar"/>
              </w:rPr>
            </w:pPr>
            <w:r>
              <w:rPr>
                <w:rFonts w:hint="eastAsia" w:ascii="宋体" w:hAnsi="宋体" w:cs="宋体"/>
                <w:color w:val="auto"/>
                <w:szCs w:val="21"/>
                <w:highlight w:val="none"/>
                <w:lang w:bidi="ar"/>
              </w:rPr>
              <w:t>b.投标函附录的所有数据均符合招标文件规定；</w:t>
            </w:r>
          </w:p>
          <w:p w14:paraId="7FDCD53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lang w:val="en-US" w:eastAsia="zh-CN"/>
              </w:rPr>
              <w:t>c.</w:t>
            </w:r>
            <w:r>
              <w:rPr>
                <w:rFonts w:hint="eastAsia" w:cs="宋体"/>
                <w:color w:val="auto"/>
                <w:szCs w:val="21"/>
                <w:highlight w:val="none"/>
              </w:rPr>
              <w:t>投标文件组成齐全完整，内容均按规定填写。</w:t>
            </w:r>
          </w:p>
          <w:p w14:paraId="7305D811">
            <w:pPr>
              <w:keepNext w:val="0"/>
              <w:keepLines w:val="0"/>
              <w:pageBreakBefore w:val="0"/>
              <w:widowControl w:val="0"/>
              <w:tabs>
                <w:tab w:val="left" w:pos="3060"/>
              </w:tabs>
              <w:kinsoku/>
              <w:wordWrap/>
              <w:overflowPunct/>
              <w:topLinePunct w:val="0"/>
              <w:autoSpaceDE/>
              <w:autoSpaceDN/>
              <w:bidi w:val="0"/>
              <w:adjustRightInd/>
              <w:snapToGrid/>
              <w:spacing w:line="288" w:lineRule="auto"/>
              <w:ind w:firstLine="420" w:firstLineChars="200"/>
              <w:textAlignment w:val="auto"/>
              <w:rPr>
                <w:rFonts w:hint="eastAsia" w:ascii="宋体" w:hAnsi="宋体"/>
                <w:color w:val="auto"/>
                <w:szCs w:val="21"/>
                <w:highlight w:val="none"/>
              </w:rPr>
            </w:pPr>
            <w:r>
              <w:rPr>
                <w:rFonts w:hint="eastAsia" w:cs="宋体"/>
                <w:color w:val="auto"/>
                <w:szCs w:val="21"/>
                <w:highlight w:val="none"/>
              </w:rPr>
              <w:t>（2）</w:t>
            </w:r>
            <w:r>
              <w:rPr>
                <w:rFonts w:hint="eastAsia" w:ascii="宋体" w:hAnsi="宋体"/>
                <w:color w:val="auto"/>
                <w:szCs w:val="21"/>
                <w:highlight w:val="none"/>
              </w:rPr>
              <w:t>投标文件上法定代表人或其委托代理人的电子签章、投标人的单位电子签章齐全，符合招标文件规定。</w:t>
            </w:r>
          </w:p>
          <w:p w14:paraId="1860131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hint="eastAsia" w:ascii="宋体" w:hAnsi="宋体"/>
                <w:color w:val="auto"/>
                <w:spacing w:val="-4"/>
                <w:sz w:val="21"/>
                <w:szCs w:val="21"/>
                <w:highlight w:val="none"/>
              </w:rPr>
            </w:pPr>
            <w:r>
              <w:rPr>
                <w:rFonts w:hint="eastAsia" w:cs="宋体"/>
                <w:color w:val="auto"/>
                <w:szCs w:val="21"/>
                <w:highlight w:val="none"/>
              </w:rPr>
              <w:t>（3）投标人按照招标文件第二章“投标人须知”第3.4.1项规定的金额、形式、时效和内容提供了投标保证金</w:t>
            </w:r>
            <w:r>
              <w:rPr>
                <w:rFonts w:hint="eastAsia" w:ascii="宋体" w:hAnsi="宋体"/>
                <w:color w:val="auto"/>
                <w:spacing w:val="-4"/>
                <w:sz w:val="21"/>
                <w:szCs w:val="21"/>
                <w:highlight w:val="none"/>
              </w:rPr>
              <w:t>。</w:t>
            </w:r>
          </w:p>
          <w:p w14:paraId="58ED82C6">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（4）</w:t>
            </w:r>
            <w:r>
              <w:rPr>
                <w:rFonts w:hint="eastAsia" w:ascii="宋体" w:hAnsi="宋体"/>
                <w:color w:val="auto"/>
                <w:szCs w:val="21"/>
                <w:highlight w:val="none"/>
              </w:rPr>
              <w:t>投标人法定代表人授权委托代理人签署投标文件的，须提交授权委托书，且符合招标文件电子印章或电子签名章要求</w:t>
            </w:r>
            <w:r>
              <w:rPr>
                <w:rFonts w:hint="eastAsia" w:cs="宋体"/>
                <w:color w:val="auto"/>
                <w:szCs w:val="21"/>
                <w:highlight w:val="none"/>
              </w:rPr>
              <w:t>。</w:t>
            </w:r>
          </w:p>
          <w:p w14:paraId="71F45CD2">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（5）</w:t>
            </w:r>
            <w:r>
              <w:rPr>
                <w:rFonts w:hint="eastAsia" w:ascii="宋体" w:hAnsi="宋体"/>
                <w:color w:val="auto"/>
                <w:szCs w:val="21"/>
                <w:highlight w:val="none"/>
              </w:rPr>
              <w:t>投标人法定代表人亲自签署投标文件的，提供了法定代表人身份证明，且符合招标文件电子印章或电子签名章要求</w:t>
            </w:r>
            <w:r>
              <w:rPr>
                <w:rFonts w:hint="eastAsia" w:cs="宋体"/>
                <w:color w:val="auto"/>
                <w:szCs w:val="21"/>
                <w:highlight w:val="none"/>
              </w:rPr>
              <w:t>。</w:t>
            </w:r>
          </w:p>
          <w:p w14:paraId="538DA2CA">
            <w:pPr>
              <w:keepNext w:val="0"/>
              <w:keepLines w:val="0"/>
              <w:pageBreakBefore w:val="0"/>
              <w:widowControl w:val="0"/>
              <w:kinsoku/>
              <w:wordWrap/>
              <w:overflowPunct/>
              <w:topLinePunct w:val="0"/>
              <w:autoSpaceDE/>
              <w:autoSpaceDN/>
              <w:bidi w:val="0"/>
              <w:adjustRightInd/>
              <w:snapToGrid/>
              <w:spacing w:line="288" w:lineRule="auto"/>
              <w:ind w:firstLine="420" w:firstLineChars="200"/>
              <w:textAlignment w:val="auto"/>
              <w:rPr>
                <w:rFonts w:hint="eastAsia" w:cs="宋体"/>
                <w:color w:val="auto"/>
                <w:szCs w:val="21"/>
                <w:highlight w:val="none"/>
              </w:rPr>
            </w:pPr>
            <w:r>
              <w:rPr>
                <w:rFonts w:hint="eastAsia"/>
                <w:color w:val="auto"/>
                <w:szCs w:val="21"/>
                <w:highlight w:val="none"/>
              </w:rPr>
              <w:t>（6）</w:t>
            </w:r>
            <w:r>
              <w:rPr>
                <w:rFonts w:hint="eastAsia"/>
                <w:color w:val="auto"/>
                <w:szCs w:val="21"/>
                <w:highlight w:val="none"/>
                <w:lang w:val="en-US" w:eastAsia="zh-CN"/>
              </w:rPr>
              <w:t>投标人以联合体形式投标的，联合体满足</w:t>
            </w:r>
            <w:r>
              <w:rPr>
                <w:rFonts w:hint="eastAsia" w:cs="宋体"/>
                <w:color w:val="auto"/>
                <w:szCs w:val="21"/>
                <w:highlight w:val="none"/>
              </w:rPr>
              <w:t>招标文件</w:t>
            </w:r>
            <w:r>
              <w:rPr>
                <w:rFonts w:hint="eastAsia" w:cs="宋体"/>
                <w:color w:val="auto"/>
                <w:szCs w:val="21"/>
                <w:highlight w:val="none"/>
                <w:lang w:val="en-US" w:eastAsia="zh-CN"/>
              </w:rPr>
              <w:t>的要求</w:t>
            </w:r>
            <w:r>
              <w:rPr>
                <w:rFonts w:hint="eastAsia" w:cs="宋体"/>
                <w:color w:val="auto"/>
                <w:szCs w:val="21"/>
                <w:highlight w:val="none"/>
                <w:lang w:eastAsia="zh-CN"/>
              </w:rPr>
              <w:t>。</w:t>
            </w:r>
          </w:p>
          <w:p w14:paraId="38CD0DF8">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20" w:firstLineChars="200"/>
              <w:jc w:val="left"/>
              <w:textAlignment w:val="auto"/>
              <w:rPr>
                <w:highlight w:val="none"/>
              </w:rPr>
            </w:pPr>
            <w:r>
              <w:rPr>
                <w:rFonts w:hint="eastAsia" w:cs="宋体"/>
                <w:color w:val="auto"/>
                <w:szCs w:val="21"/>
                <w:highlight w:val="none"/>
              </w:rPr>
              <w:t>同一投标人未提交两个以上不同的投标文件。</w:t>
            </w:r>
          </w:p>
          <w:p w14:paraId="2E9952BA">
            <w:pPr>
              <w:keepNext w:val="0"/>
              <w:keepLines w:val="0"/>
              <w:pageBreakBefore w:val="0"/>
              <w:widowControl w:val="0"/>
              <w:numPr>
                <w:ilvl w:val="0"/>
                <w:numId w:val="1"/>
              </w:numPr>
              <w:kinsoku/>
              <w:wordWrap/>
              <w:overflowPunct/>
              <w:topLinePunct w:val="0"/>
              <w:autoSpaceDE/>
              <w:autoSpaceDN/>
              <w:bidi w:val="0"/>
              <w:adjustRightInd/>
              <w:snapToGrid/>
              <w:spacing w:line="288" w:lineRule="auto"/>
              <w:ind w:firstLine="420" w:firstLineChars="200"/>
              <w:jc w:val="left"/>
              <w:textAlignment w:val="auto"/>
              <w:rPr>
                <w:highlight w:val="none"/>
              </w:rPr>
            </w:pPr>
            <w:r>
              <w:rPr>
                <w:rFonts w:hint="eastAsia" w:cs="宋体"/>
                <w:color w:val="auto"/>
                <w:szCs w:val="21"/>
                <w:highlight w:val="none"/>
              </w:rPr>
              <w:t>同一投标人未提交两个以上不同的</w:t>
            </w:r>
            <w:r>
              <w:rPr>
                <w:rFonts w:hint="eastAsia" w:cs="宋体"/>
                <w:color w:val="auto"/>
                <w:szCs w:val="21"/>
                <w:highlight w:val="none"/>
                <w:lang w:val="en-US" w:eastAsia="zh-CN"/>
              </w:rPr>
              <w:t>投标报价</w:t>
            </w:r>
            <w:r>
              <w:rPr>
                <w:rFonts w:hint="eastAsia" w:cs="宋体"/>
                <w:color w:val="auto"/>
                <w:szCs w:val="21"/>
                <w:highlight w:val="none"/>
              </w:rPr>
              <w:t>。</w:t>
            </w:r>
          </w:p>
          <w:p w14:paraId="58D69080">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9</w:t>
            </w:r>
            <w:r>
              <w:rPr>
                <w:rFonts w:hint="eastAsia" w:cs="宋体"/>
                <w:color w:val="auto"/>
                <w:szCs w:val="21"/>
                <w:highlight w:val="none"/>
              </w:rPr>
              <w:t>）投标文件载明的招标项目完成期限，符合招标文件规定。</w:t>
            </w:r>
          </w:p>
          <w:p w14:paraId="6834A7F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10</w:t>
            </w:r>
            <w:r>
              <w:rPr>
                <w:rFonts w:hint="eastAsia" w:cs="宋体"/>
                <w:color w:val="auto"/>
                <w:szCs w:val="21"/>
                <w:highlight w:val="none"/>
              </w:rPr>
              <w:t>）投标文件对招标文件的实质性要求和条件作出响应。</w:t>
            </w:r>
          </w:p>
          <w:p w14:paraId="408F598D">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w:t>
            </w:r>
            <w:r>
              <w:rPr>
                <w:rFonts w:hint="eastAsia" w:cs="宋体"/>
                <w:color w:val="auto"/>
                <w:szCs w:val="21"/>
                <w:highlight w:val="none"/>
                <w:lang w:val="en-US" w:eastAsia="zh-CN"/>
              </w:rPr>
              <w:t>11</w:t>
            </w:r>
            <w:r>
              <w:rPr>
                <w:rFonts w:hint="eastAsia" w:cs="宋体"/>
                <w:color w:val="auto"/>
                <w:szCs w:val="21"/>
                <w:highlight w:val="none"/>
              </w:rPr>
              <w:t>）权利义务符合招标文件规定：</w:t>
            </w:r>
          </w:p>
          <w:p w14:paraId="14ECAE6A">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a.投标人应接受招标文件规定的风险划分原则，未提出新的风险划分办法；</w:t>
            </w:r>
          </w:p>
          <w:p w14:paraId="2EA8C79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b.投标人未增加发包人的责任范围，或减少投标人义务；</w:t>
            </w:r>
          </w:p>
          <w:p w14:paraId="769538B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rFonts w:cs="宋体"/>
                <w:color w:val="auto"/>
                <w:szCs w:val="21"/>
                <w:highlight w:val="none"/>
              </w:rPr>
            </w:pPr>
            <w:r>
              <w:rPr>
                <w:rFonts w:hint="eastAsia" w:cs="宋体"/>
                <w:color w:val="auto"/>
                <w:szCs w:val="21"/>
                <w:highlight w:val="none"/>
              </w:rPr>
              <w:t>c.</w:t>
            </w:r>
            <w:r>
              <w:rPr>
                <w:rFonts w:hint="eastAsia" w:ascii="宋体" w:hAnsi="宋体"/>
                <w:color w:val="auto"/>
                <w:szCs w:val="21"/>
                <w:highlight w:val="none"/>
              </w:rPr>
              <w:t>投标人未提出不同的工程验收、计量、支付办法</w:t>
            </w:r>
            <w:r>
              <w:rPr>
                <w:rFonts w:hint="eastAsia" w:cs="宋体"/>
                <w:color w:val="auto"/>
                <w:szCs w:val="21"/>
                <w:highlight w:val="none"/>
              </w:rPr>
              <w:t>；</w:t>
            </w:r>
          </w:p>
          <w:p w14:paraId="1A6D085F">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color w:val="auto"/>
                <w:szCs w:val="21"/>
                <w:highlight w:val="none"/>
              </w:rPr>
            </w:pPr>
            <w:r>
              <w:rPr>
                <w:rFonts w:hint="eastAsia"/>
                <w:color w:val="auto"/>
                <w:szCs w:val="21"/>
                <w:highlight w:val="none"/>
              </w:rPr>
              <w:t>d.投标人对合同纠纷、事故处理办法未提出异议；</w:t>
            </w:r>
          </w:p>
          <w:p w14:paraId="7844F493">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color w:val="auto"/>
                <w:szCs w:val="21"/>
                <w:highlight w:val="none"/>
              </w:rPr>
            </w:pPr>
            <w:r>
              <w:rPr>
                <w:rFonts w:hint="eastAsia"/>
                <w:color w:val="auto"/>
                <w:szCs w:val="21"/>
                <w:highlight w:val="none"/>
              </w:rPr>
              <w:t>e.投标人在投标活动中无欺诈行为；</w:t>
            </w:r>
          </w:p>
          <w:p w14:paraId="740DDC57">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color w:val="auto"/>
                <w:szCs w:val="21"/>
                <w:highlight w:val="none"/>
              </w:rPr>
            </w:pPr>
            <w:r>
              <w:rPr>
                <w:rFonts w:hint="eastAsia"/>
                <w:color w:val="auto"/>
                <w:szCs w:val="21"/>
                <w:highlight w:val="none"/>
              </w:rPr>
              <w:t>f.投标人未对合同条款有重要保留。</w:t>
            </w:r>
          </w:p>
          <w:p w14:paraId="6341DC29">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bCs/>
                <w:color w:val="auto"/>
                <w:szCs w:val="21"/>
                <w:highlight w:val="none"/>
              </w:rPr>
            </w:pPr>
            <w:r>
              <w:rPr>
                <w:rFonts w:hint="eastAsia"/>
                <w:bCs/>
                <w:color w:val="auto"/>
                <w:szCs w:val="21"/>
                <w:highlight w:val="none"/>
              </w:rPr>
              <w:t>（1</w:t>
            </w:r>
            <w:r>
              <w:rPr>
                <w:rFonts w:hint="eastAsia"/>
                <w:bCs/>
                <w:color w:val="auto"/>
                <w:szCs w:val="21"/>
                <w:highlight w:val="none"/>
                <w:lang w:val="en-US" w:eastAsia="zh-CN"/>
              </w:rPr>
              <w:t>2</w:t>
            </w:r>
            <w:r>
              <w:rPr>
                <w:rFonts w:hint="eastAsia"/>
                <w:bCs/>
                <w:color w:val="auto"/>
                <w:szCs w:val="21"/>
                <w:highlight w:val="none"/>
              </w:rPr>
              <w:t>）投标报价</w:t>
            </w:r>
            <w:r>
              <w:rPr>
                <w:rFonts w:hint="eastAsia"/>
                <w:bCs/>
                <w:color w:val="auto"/>
                <w:szCs w:val="21"/>
                <w:highlight w:val="none"/>
                <w:lang w:val="en-US" w:eastAsia="zh-CN"/>
              </w:rPr>
              <w:t>及分项报价均</w:t>
            </w:r>
            <w:r>
              <w:rPr>
                <w:rFonts w:hint="eastAsia"/>
                <w:bCs/>
                <w:color w:val="auto"/>
                <w:szCs w:val="21"/>
                <w:highlight w:val="none"/>
              </w:rPr>
              <w:t>未超过招标文件设定的最高投标限价。</w:t>
            </w:r>
          </w:p>
          <w:p w14:paraId="5F8ACF84">
            <w:pPr>
              <w:keepNext w:val="0"/>
              <w:keepLines w:val="0"/>
              <w:pageBreakBefore w:val="0"/>
              <w:widowControl w:val="0"/>
              <w:kinsoku/>
              <w:wordWrap/>
              <w:overflowPunct/>
              <w:topLinePunct w:val="0"/>
              <w:autoSpaceDE/>
              <w:autoSpaceDN/>
              <w:bidi w:val="0"/>
              <w:adjustRightInd/>
              <w:snapToGrid/>
              <w:spacing w:line="288" w:lineRule="auto"/>
              <w:ind w:firstLine="420" w:firstLineChars="200"/>
              <w:jc w:val="left"/>
              <w:textAlignment w:val="auto"/>
              <w:rPr>
                <w:bCs/>
                <w:color w:val="auto"/>
                <w:szCs w:val="21"/>
                <w:highlight w:val="none"/>
              </w:rPr>
            </w:pPr>
            <w:r>
              <w:rPr>
                <w:rFonts w:hint="eastAsia"/>
                <w:bCs/>
                <w:color w:val="auto"/>
                <w:szCs w:val="21"/>
                <w:highlight w:val="none"/>
              </w:rPr>
              <w:t>（</w:t>
            </w:r>
            <w:r>
              <w:rPr>
                <w:rFonts w:hint="eastAsia"/>
                <w:bCs/>
                <w:color w:val="auto"/>
                <w:szCs w:val="21"/>
                <w:highlight w:val="none"/>
                <w:lang w:val="en-US" w:eastAsia="zh-CN"/>
              </w:rPr>
              <w:t>13</w:t>
            </w:r>
            <w:r>
              <w:rPr>
                <w:rFonts w:hint="eastAsia"/>
                <w:bCs/>
                <w:color w:val="auto"/>
                <w:szCs w:val="21"/>
                <w:highlight w:val="none"/>
              </w:rPr>
              <w:t>）投标</w:t>
            </w:r>
            <w:r>
              <w:rPr>
                <w:rFonts w:hint="eastAsia"/>
                <w:color w:val="auto"/>
                <w:szCs w:val="21"/>
                <w:highlight w:val="none"/>
              </w:rPr>
              <w:t>报价</w:t>
            </w:r>
            <w:r>
              <w:rPr>
                <w:rFonts w:hint="eastAsia"/>
                <w:bCs/>
                <w:color w:val="auto"/>
                <w:szCs w:val="21"/>
                <w:highlight w:val="none"/>
              </w:rPr>
              <w:t>的大写金额能够确定具体数值。</w:t>
            </w:r>
          </w:p>
          <w:p w14:paraId="5897E5D2">
            <w:pPr>
              <w:keepNext w:val="0"/>
              <w:keepLines w:val="0"/>
              <w:pageBreakBefore w:val="0"/>
              <w:widowControl w:val="0"/>
              <w:kinsoku/>
              <w:wordWrap/>
              <w:overflowPunct/>
              <w:topLinePunct w:val="0"/>
              <w:autoSpaceDE/>
              <w:autoSpaceDN/>
              <w:bidi w:val="0"/>
              <w:adjustRightInd/>
              <w:snapToGrid/>
              <w:spacing w:line="288" w:lineRule="auto"/>
              <w:ind w:firstLine="386" w:firstLineChars="184"/>
              <w:jc w:val="left"/>
              <w:textAlignment w:val="auto"/>
              <w:rPr>
                <w:rFonts w:hint="eastAsia"/>
                <w:bCs/>
                <w:color w:val="auto"/>
                <w:szCs w:val="21"/>
                <w:highlight w:val="none"/>
              </w:rPr>
            </w:pPr>
            <w:r>
              <w:rPr>
                <w:rFonts w:hint="eastAsia"/>
                <w:bCs/>
                <w:color w:val="auto"/>
                <w:szCs w:val="21"/>
                <w:highlight w:val="none"/>
              </w:rPr>
              <w:t>（</w:t>
            </w:r>
            <w:r>
              <w:rPr>
                <w:bCs/>
                <w:color w:val="auto"/>
                <w:szCs w:val="21"/>
                <w:highlight w:val="none"/>
              </w:rPr>
              <w:t>1</w:t>
            </w:r>
            <w:r>
              <w:rPr>
                <w:rFonts w:hint="eastAsia"/>
                <w:bCs/>
                <w:color w:val="auto"/>
                <w:szCs w:val="21"/>
                <w:highlight w:val="none"/>
                <w:lang w:val="en-US" w:eastAsia="zh-CN"/>
              </w:rPr>
              <w:t>4</w:t>
            </w:r>
            <w:r>
              <w:rPr>
                <w:rFonts w:hint="eastAsia"/>
                <w:bCs/>
                <w:color w:val="auto"/>
                <w:szCs w:val="21"/>
                <w:highlight w:val="none"/>
              </w:rPr>
              <w:t>）投标人未提交调价函。</w:t>
            </w:r>
          </w:p>
          <w:p w14:paraId="1B81791D">
            <w:pPr>
              <w:keepNext w:val="0"/>
              <w:keepLines w:val="0"/>
              <w:pageBreakBefore w:val="0"/>
              <w:widowControl w:val="0"/>
              <w:kinsoku/>
              <w:wordWrap/>
              <w:overflowPunct/>
              <w:topLinePunct w:val="0"/>
              <w:autoSpaceDE/>
              <w:autoSpaceDN/>
              <w:bidi w:val="0"/>
              <w:adjustRightInd/>
              <w:snapToGrid/>
              <w:spacing w:line="288" w:lineRule="auto"/>
              <w:ind w:firstLine="386" w:firstLineChars="184"/>
              <w:jc w:val="left"/>
              <w:textAlignment w:val="auto"/>
              <w:rPr>
                <w:rFonts w:hint="eastAsia"/>
                <w:bCs/>
                <w:color w:val="auto"/>
                <w:szCs w:val="21"/>
                <w:highlight w:val="none"/>
              </w:rPr>
            </w:pPr>
            <w:r>
              <w:rPr>
                <w:rFonts w:hint="eastAsia" w:ascii="宋体" w:hAnsi="宋体" w:cs="宋体"/>
                <w:bCs/>
                <w:szCs w:val="21"/>
              </w:rPr>
              <w:t>（</w:t>
            </w:r>
            <w:r>
              <w:rPr>
                <w:rFonts w:hint="eastAsia" w:ascii="Times New Roman" w:hAnsi="Times New Roman" w:eastAsia="宋体" w:cs="Times New Roman"/>
                <w:bCs/>
                <w:color w:val="auto"/>
                <w:szCs w:val="21"/>
                <w:highlight w:val="none"/>
                <w:lang w:val="en-US" w:eastAsia="zh-CN"/>
              </w:rPr>
              <w:t>15</w:t>
            </w:r>
            <w:r>
              <w:rPr>
                <w:rFonts w:hint="eastAsia" w:ascii="Times New Roman" w:hAnsi="Times New Roman" w:eastAsia="宋体" w:cs="Times New Roman"/>
                <w:bCs/>
                <w:color w:val="auto"/>
                <w:szCs w:val="21"/>
                <w:highlight w:val="none"/>
              </w:rPr>
              <w:t>）价</w:t>
            </w:r>
            <w:r>
              <w:rPr>
                <w:rFonts w:hint="eastAsia" w:ascii="宋体" w:hAnsi="宋体" w:cs="宋体"/>
                <w:bCs/>
                <w:szCs w:val="21"/>
              </w:rPr>
              <w:t>格清单汇总报价与投标函中报价的大写金额一致</w:t>
            </w:r>
          </w:p>
          <w:p w14:paraId="33130B3D">
            <w:pPr>
              <w:pStyle w:val="6"/>
              <w:keepNext w:val="0"/>
              <w:keepLines w:val="0"/>
              <w:pageBreakBefore w:val="0"/>
              <w:widowControl w:val="0"/>
              <w:kinsoku/>
              <w:wordWrap/>
              <w:overflowPunct/>
              <w:topLinePunct w:val="0"/>
              <w:autoSpaceDE/>
              <w:autoSpaceDN/>
              <w:bidi w:val="0"/>
              <w:adjustRightInd/>
              <w:snapToGrid/>
              <w:spacing w:line="288" w:lineRule="auto"/>
              <w:ind w:firstLine="422" w:firstLineChars="200"/>
              <w:textAlignment w:val="auto"/>
              <w:rPr>
                <w:rFonts w:hint="eastAsia"/>
                <w:b/>
                <w:bCs w:val="0"/>
                <w:color w:val="auto"/>
                <w:szCs w:val="21"/>
                <w:highlight w:val="none"/>
                <w:lang w:val="en-US" w:eastAsia="zh-CN"/>
              </w:rPr>
            </w:pPr>
            <w:r>
              <w:rPr>
                <w:rFonts w:hint="eastAsia"/>
                <w:b/>
                <w:bCs w:val="0"/>
                <w:color w:val="auto"/>
                <w:szCs w:val="21"/>
                <w:highlight w:val="none"/>
                <w:lang w:val="en-US" w:eastAsia="zh-CN"/>
              </w:rPr>
              <w:t>暗标部分</w:t>
            </w:r>
          </w:p>
          <w:p w14:paraId="36AEBA13">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ascii="宋体" w:hAnsi="宋体"/>
                <w:caps w:val="0"/>
                <w:color w:val="auto"/>
                <w:spacing w:val="0"/>
                <w:position w:val="0"/>
                <w:szCs w:val="21"/>
                <w:highlight w:val="none"/>
              </w:rPr>
            </w:pPr>
            <w:r>
              <w:rPr>
                <w:rFonts w:hint="eastAsia"/>
                <w:bCs/>
                <w:color w:val="auto"/>
                <w:szCs w:val="21"/>
                <w:highlight w:val="none"/>
              </w:rPr>
              <w:t>（</w:t>
            </w:r>
            <w:r>
              <w:rPr>
                <w:rFonts w:hint="eastAsia"/>
                <w:bCs/>
                <w:color w:val="auto"/>
                <w:szCs w:val="21"/>
                <w:highlight w:val="none"/>
                <w:lang w:val="en-US" w:eastAsia="zh-CN"/>
              </w:rPr>
              <w:t>1</w:t>
            </w:r>
            <w:r>
              <w:rPr>
                <w:rFonts w:hint="eastAsia"/>
                <w:bCs/>
                <w:color w:val="auto"/>
                <w:szCs w:val="21"/>
                <w:highlight w:val="none"/>
              </w:rPr>
              <w:t>）承包人实施方案（承包人设计方案</w:t>
            </w:r>
            <w:r>
              <w:rPr>
                <w:rFonts w:hint="eastAsia"/>
                <w:bCs/>
                <w:color w:val="auto"/>
                <w:szCs w:val="21"/>
                <w:highlight w:val="none"/>
                <w:lang w:val="en-US" w:eastAsia="zh-CN"/>
              </w:rPr>
              <w:t>和承包人施工方案，</w:t>
            </w:r>
            <w:r>
              <w:rPr>
                <w:rFonts w:hint="eastAsia"/>
                <w:bCs/>
                <w:color w:val="auto"/>
                <w:szCs w:val="21"/>
                <w:highlight w:val="none"/>
              </w:rPr>
              <w:t>暗标）</w:t>
            </w:r>
            <w:r>
              <w:rPr>
                <w:rFonts w:hint="eastAsia"/>
                <w:bCs/>
                <w:color w:val="auto"/>
                <w:szCs w:val="21"/>
                <w:highlight w:val="none"/>
                <w:lang w:val="en-US" w:eastAsia="zh-CN"/>
              </w:rPr>
              <w:t>编制</w:t>
            </w:r>
            <w:r>
              <w:rPr>
                <w:rFonts w:hint="eastAsia"/>
                <w:bCs/>
                <w:color w:val="auto"/>
                <w:szCs w:val="21"/>
                <w:highlight w:val="none"/>
              </w:rPr>
              <w:t>符合招标文件第二章“投标人须知”第3.7.3款的规定。</w:t>
            </w:r>
          </w:p>
        </w:tc>
      </w:tr>
      <w:tr w14:paraId="2B2F8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0" w:hRule="atLeast"/>
          <w:jc w:val="center"/>
        </w:trPr>
        <w:tc>
          <w:tcPr>
            <w:tcW w:w="956" w:type="dxa"/>
            <w:tcBorders>
              <w:top w:val="single" w:color="auto" w:sz="4" w:space="0"/>
              <w:right w:val="single" w:color="auto" w:sz="4" w:space="0"/>
            </w:tcBorders>
            <w:noWrap w:val="0"/>
            <w:vAlign w:val="center"/>
          </w:tcPr>
          <w:p w14:paraId="4C6A7B82">
            <w:pPr>
              <w:pStyle w:val="6"/>
              <w:keepNext w:val="0"/>
              <w:keepLines w:val="0"/>
              <w:pageBreakBefore w:val="0"/>
              <w:widowControl w:val="0"/>
              <w:kinsoku/>
              <w:wordWrap/>
              <w:overflowPunct/>
              <w:topLinePunct w:val="0"/>
              <w:bidi w:val="0"/>
              <w:adjustRightInd/>
              <w:snapToGrid/>
              <w:spacing w:line="288" w:lineRule="auto"/>
              <w:jc w:val="center"/>
              <w:rPr>
                <w:rFonts w:ascii="宋体" w:hAnsi="宋体"/>
                <w:caps w:val="0"/>
                <w:color w:val="auto"/>
                <w:spacing w:val="0"/>
                <w:position w:val="0"/>
                <w:szCs w:val="21"/>
                <w:highlight w:val="none"/>
              </w:rPr>
            </w:pPr>
            <w:r>
              <w:rPr>
                <w:rFonts w:hint="eastAsia" w:hAnsi="宋体" w:cs="宋体"/>
                <w:color w:val="auto"/>
                <w:szCs w:val="21"/>
                <w:highlight w:val="none"/>
              </w:rPr>
              <w:t>2.1.2</w:t>
            </w:r>
          </w:p>
        </w:tc>
        <w:tc>
          <w:tcPr>
            <w:tcW w:w="1124" w:type="dxa"/>
            <w:tcBorders>
              <w:top w:val="single" w:color="auto" w:sz="4" w:space="0"/>
              <w:right w:val="single" w:color="auto" w:sz="4" w:space="0"/>
            </w:tcBorders>
            <w:noWrap w:val="0"/>
            <w:vAlign w:val="center"/>
          </w:tcPr>
          <w:p w14:paraId="2E441783">
            <w:pPr>
              <w:pStyle w:val="6"/>
              <w:keepNext w:val="0"/>
              <w:keepLines w:val="0"/>
              <w:pageBreakBefore w:val="0"/>
              <w:widowControl w:val="0"/>
              <w:kinsoku/>
              <w:wordWrap/>
              <w:overflowPunct/>
              <w:topLinePunct w:val="0"/>
              <w:bidi w:val="0"/>
              <w:adjustRightInd/>
              <w:snapToGrid/>
              <w:spacing w:line="288" w:lineRule="auto"/>
              <w:jc w:val="center"/>
              <w:rPr>
                <w:rFonts w:ascii="宋体" w:hAnsi="宋体"/>
                <w:caps w:val="0"/>
                <w:color w:val="auto"/>
                <w:spacing w:val="0"/>
                <w:position w:val="0"/>
                <w:szCs w:val="21"/>
                <w:highlight w:val="none"/>
              </w:rPr>
            </w:pPr>
            <w:r>
              <w:rPr>
                <w:rFonts w:hint="eastAsia" w:hAnsi="宋体" w:cs="宋体"/>
                <w:color w:val="auto"/>
                <w:szCs w:val="21"/>
                <w:highlight w:val="none"/>
              </w:rPr>
              <w:t>资格评审标准</w:t>
            </w:r>
          </w:p>
        </w:tc>
        <w:tc>
          <w:tcPr>
            <w:tcW w:w="8316" w:type="dxa"/>
            <w:gridSpan w:val="6"/>
            <w:tcBorders>
              <w:top w:val="single" w:color="auto" w:sz="4" w:space="0"/>
              <w:left w:val="single" w:color="auto" w:sz="4" w:space="0"/>
              <w:bottom w:val="single" w:color="auto" w:sz="4" w:space="0"/>
              <w:right w:val="single" w:color="auto" w:sz="4" w:space="0"/>
            </w:tcBorders>
            <w:noWrap w:val="0"/>
            <w:vAlign w:val="center"/>
          </w:tcPr>
          <w:p w14:paraId="03821875">
            <w:pPr>
              <w:pStyle w:val="6"/>
              <w:keepNext w:val="0"/>
              <w:keepLines w:val="0"/>
              <w:pageBreakBefore w:val="0"/>
              <w:widowControl w:val="0"/>
              <w:kinsoku/>
              <w:wordWrap/>
              <w:overflowPunct/>
              <w:topLinePunct w:val="0"/>
              <w:bidi w:val="0"/>
              <w:adjustRightInd/>
              <w:snapToGrid/>
              <w:spacing w:line="288" w:lineRule="auto"/>
              <w:rPr>
                <w:rFonts w:hint="eastAsia" w:hAnsi="宋体" w:cs="宋体"/>
                <w:color w:val="auto"/>
                <w:szCs w:val="21"/>
                <w:highlight w:val="none"/>
              </w:rPr>
            </w:pPr>
            <w:r>
              <w:rPr>
                <w:rFonts w:hint="eastAsia" w:hAnsi="宋体" w:cs="宋体"/>
                <w:color w:val="auto"/>
                <w:szCs w:val="21"/>
                <w:highlight w:val="none"/>
              </w:rPr>
              <w:t>（1）投标人具备有效的营业执照、资质证书、安全生产许可证和基本账户开户许可证（或基本存款账户信息）。</w:t>
            </w:r>
          </w:p>
          <w:p w14:paraId="50B2A3C4">
            <w:pPr>
              <w:pStyle w:val="6"/>
              <w:keepNext w:val="0"/>
              <w:keepLines w:val="0"/>
              <w:pageBreakBefore w:val="0"/>
              <w:widowControl w:val="0"/>
              <w:kinsoku/>
              <w:wordWrap/>
              <w:overflowPunct/>
              <w:topLinePunct w:val="0"/>
              <w:bidi w:val="0"/>
              <w:adjustRightInd/>
              <w:snapToGrid/>
              <w:spacing w:line="288" w:lineRule="auto"/>
              <w:rPr>
                <w:rFonts w:hint="eastAsia" w:hAnsi="宋体" w:cs="宋体"/>
                <w:color w:val="auto"/>
                <w:szCs w:val="21"/>
                <w:highlight w:val="none"/>
              </w:rPr>
            </w:pPr>
            <w:r>
              <w:rPr>
                <w:rFonts w:hint="eastAsia" w:hAnsi="宋体" w:cs="宋体"/>
                <w:color w:val="auto"/>
                <w:szCs w:val="21"/>
                <w:highlight w:val="none"/>
              </w:rPr>
              <w:t>（2）投标人的资质等级符合招标文件规定。</w:t>
            </w:r>
          </w:p>
          <w:p w14:paraId="0569BC04">
            <w:pPr>
              <w:pStyle w:val="6"/>
              <w:keepNext w:val="0"/>
              <w:keepLines w:val="0"/>
              <w:pageBreakBefore w:val="0"/>
              <w:widowControl w:val="0"/>
              <w:kinsoku/>
              <w:wordWrap/>
              <w:overflowPunct/>
              <w:topLinePunct w:val="0"/>
              <w:bidi w:val="0"/>
              <w:adjustRightInd/>
              <w:snapToGrid/>
              <w:spacing w:line="288" w:lineRule="auto"/>
              <w:rPr>
                <w:rFonts w:hint="eastAsia" w:hAnsi="宋体" w:eastAsia="宋体" w:cs="宋体"/>
                <w:color w:val="auto"/>
                <w:szCs w:val="21"/>
                <w:highlight w:val="none"/>
                <w:lang w:eastAsia="zh-CN"/>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3</w:t>
            </w:r>
            <w:r>
              <w:rPr>
                <w:rFonts w:hint="eastAsia" w:hAnsi="宋体" w:cs="宋体"/>
                <w:color w:val="auto"/>
                <w:szCs w:val="21"/>
                <w:highlight w:val="none"/>
                <w:lang w:eastAsia="zh-CN"/>
              </w:rPr>
              <w:t>）</w:t>
            </w:r>
            <w:r>
              <w:rPr>
                <w:rFonts w:hint="eastAsia" w:hAnsi="宋体" w:cs="宋体"/>
                <w:color w:val="auto"/>
                <w:szCs w:val="21"/>
                <w:highlight w:val="none"/>
              </w:rPr>
              <w:t>投标人的</w:t>
            </w:r>
            <w:r>
              <w:rPr>
                <w:rFonts w:hint="eastAsia" w:hAnsi="宋体" w:cs="宋体"/>
                <w:color w:val="auto"/>
                <w:szCs w:val="21"/>
                <w:highlight w:val="none"/>
                <w:lang w:val="en-US" w:eastAsia="zh-CN"/>
              </w:rPr>
              <w:t>财务状况</w:t>
            </w:r>
            <w:r>
              <w:rPr>
                <w:rFonts w:hint="eastAsia" w:hAnsi="宋体" w:cs="宋体"/>
                <w:color w:val="auto"/>
                <w:szCs w:val="21"/>
                <w:highlight w:val="none"/>
              </w:rPr>
              <w:t>符合招标文件规定</w:t>
            </w:r>
            <w:r>
              <w:rPr>
                <w:rFonts w:hint="eastAsia" w:hAnsi="宋体" w:cs="宋体"/>
                <w:color w:val="auto"/>
                <w:szCs w:val="21"/>
                <w:highlight w:val="none"/>
                <w:lang w:eastAsia="zh-CN"/>
              </w:rPr>
              <w:t>。</w:t>
            </w:r>
          </w:p>
          <w:p w14:paraId="2996499A">
            <w:pPr>
              <w:pStyle w:val="6"/>
              <w:keepNext w:val="0"/>
              <w:keepLines w:val="0"/>
              <w:pageBreakBefore w:val="0"/>
              <w:widowControl w:val="0"/>
              <w:kinsoku/>
              <w:wordWrap/>
              <w:overflowPunct/>
              <w:topLinePunct w:val="0"/>
              <w:bidi w:val="0"/>
              <w:adjustRightInd/>
              <w:snapToGrid/>
              <w:spacing w:line="288" w:lineRule="auto"/>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4</w:t>
            </w:r>
            <w:r>
              <w:rPr>
                <w:rFonts w:hint="eastAsia" w:hAnsi="宋体" w:cs="宋体"/>
                <w:color w:val="auto"/>
                <w:szCs w:val="21"/>
                <w:highlight w:val="none"/>
              </w:rPr>
              <w:t>）投标人的</w:t>
            </w:r>
            <w:r>
              <w:rPr>
                <w:rFonts w:hint="eastAsia" w:hAnsi="宋体" w:cs="宋体"/>
                <w:color w:val="auto"/>
                <w:szCs w:val="21"/>
                <w:highlight w:val="none"/>
                <w:lang w:val="en-US" w:eastAsia="zh-CN"/>
              </w:rPr>
              <w:t>类似项目</w:t>
            </w:r>
            <w:r>
              <w:rPr>
                <w:rFonts w:hint="eastAsia" w:hAnsi="宋体" w:cs="宋体"/>
                <w:color w:val="auto"/>
                <w:szCs w:val="21"/>
                <w:highlight w:val="none"/>
              </w:rPr>
              <w:t>业绩符合招标文件规定。</w:t>
            </w:r>
          </w:p>
          <w:p w14:paraId="0E4B0811">
            <w:pPr>
              <w:pStyle w:val="6"/>
              <w:keepNext w:val="0"/>
              <w:keepLines w:val="0"/>
              <w:pageBreakBefore w:val="0"/>
              <w:widowControl w:val="0"/>
              <w:kinsoku/>
              <w:wordWrap/>
              <w:overflowPunct/>
              <w:topLinePunct w:val="0"/>
              <w:bidi w:val="0"/>
              <w:adjustRightInd/>
              <w:snapToGrid/>
              <w:spacing w:line="288" w:lineRule="auto"/>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5</w:t>
            </w:r>
            <w:r>
              <w:rPr>
                <w:rFonts w:hint="eastAsia" w:hAnsi="宋体" w:cs="宋体"/>
                <w:color w:val="auto"/>
                <w:szCs w:val="21"/>
                <w:highlight w:val="none"/>
              </w:rPr>
              <w:t>）投标人的信誉符合招标文件规定。</w:t>
            </w:r>
          </w:p>
          <w:p w14:paraId="4C6520D3">
            <w:pPr>
              <w:pStyle w:val="6"/>
              <w:keepNext w:val="0"/>
              <w:keepLines w:val="0"/>
              <w:pageBreakBefore w:val="0"/>
              <w:widowControl w:val="0"/>
              <w:kinsoku/>
              <w:wordWrap/>
              <w:overflowPunct/>
              <w:topLinePunct w:val="0"/>
              <w:bidi w:val="0"/>
              <w:adjustRightInd/>
              <w:snapToGrid/>
              <w:spacing w:line="288" w:lineRule="auto"/>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6</w:t>
            </w:r>
            <w:r>
              <w:rPr>
                <w:rFonts w:hint="eastAsia" w:hAnsi="宋体" w:cs="宋体"/>
                <w:color w:val="auto"/>
                <w:szCs w:val="21"/>
                <w:highlight w:val="none"/>
              </w:rPr>
              <w:t>）投标人的</w:t>
            </w:r>
            <w:r>
              <w:rPr>
                <w:rFonts w:hint="eastAsia" w:ascii="宋体" w:hAnsi="宋体"/>
                <w:caps w:val="0"/>
                <w:color w:val="auto"/>
                <w:spacing w:val="0"/>
                <w:position w:val="0"/>
                <w:szCs w:val="21"/>
                <w:highlight w:val="none"/>
              </w:rPr>
              <w:t>项目经理</w:t>
            </w:r>
            <w:r>
              <w:rPr>
                <w:rFonts w:hint="eastAsia" w:hAnsi="宋体" w:cs="宋体"/>
                <w:color w:val="auto"/>
                <w:szCs w:val="21"/>
                <w:highlight w:val="none"/>
                <w:lang w:val="en-US" w:eastAsia="zh-CN"/>
              </w:rPr>
              <w:t>、施工负责人、设计负责人</w:t>
            </w:r>
            <w:r>
              <w:rPr>
                <w:rFonts w:hint="eastAsia" w:hAnsi="宋体" w:cs="宋体"/>
                <w:color w:val="auto"/>
                <w:szCs w:val="21"/>
                <w:highlight w:val="none"/>
              </w:rPr>
              <w:t>资格符合招标文件规定。</w:t>
            </w:r>
          </w:p>
          <w:p w14:paraId="3E2E0C07">
            <w:pPr>
              <w:pStyle w:val="6"/>
              <w:keepNext w:val="0"/>
              <w:keepLines w:val="0"/>
              <w:pageBreakBefore w:val="0"/>
              <w:widowControl w:val="0"/>
              <w:kinsoku/>
              <w:wordWrap/>
              <w:overflowPunct/>
              <w:topLinePunct w:val="0"/>
              <w:bidi w:val="0"/>
              <w:adjustRightInd/>
              <w:snapToGrid/>
              <w:spacing w:line="288" w:lineRule="auto"/>
              <w:rPr>
                <w:rFonts w:hint="eastAsia" w:hAnsi="宋体" w:cs="宋体"/>
                <w:color w:val="auto"/>
                <w:szCs w:val="21"/>
                <w:highlight w:val="none"/>
              </w:rPr>
            </w:pPr>
            <w:r>
              <w:rPr>
                <w:rFonts w:hint="eastAsia" w:hAnsi="宋体" w:cs="宋体"/>
                <w:color w:val="auto"/>
                <w:szCs w:val="21"/>
                <w:highlight w:val="none"/>
              </w:rPr>
              <w:t>（</w:t>
            </w:r>
            <w:r>
              <w:rPr>
                <w:rFonts w:hint="eastAsia" w:hAnsi="宋体" w:cs="宋体"/>
                <w:color w:val="auto"/>
                <w:szCs w:val="21"/>
                <w:highlight w:val="none"/>
                <w:lang w:val="en-US" w:eastAsia="zh-CN"/>
              </w:rPr>
              <w:t>7</w:t>
            </w:r>
            <w:r>
              <w:rPr>
                <w:rFonts w:hint="eastAsia" w:hAnsi="宋体" w:cs="宋体"/>
                <w:color w:val="auto"/>
                <w:szCs w:val="21"/>
                <w:highlight w:val="none"/>
              </w:rPr>
              <w:t>）投标人不存在第二章“投标人须知”第1.4.3项或第1.4.4项规定的任何一种情形。</w:t>
            </w:r>
          </w:p>
          <w:p w14:paraId="46BA4D03">
            <w:pPr>
              <w:pStyle w:val="6"/>
              <w:keepNext w:val="0"/>
              <w:keepLines w:val="0"/>
              <w:pageBreakBefore w:val="0"/>
              <w:widowControl w:val="0"/>
              <w:kinsoku/>
              <w:wordWrap/>
              <w:overflowPunct/>
              <w:topLinePunct w:val="0"/>
              <w:bidi w:val="0"/>
              <w:adjustRightInd/>
              <w:snapToGrid/>
              <w:spacing w:line="288" w:lineRule="auto"/>
              <w:rPr>
                <w:rFonts w:ascii="宋体" w:hAnsi="宋体"/>
                <w:caps w:val="0"/>
                <w:color w:val="auto"/>
                <w:spacing w:val="0"/>
                <w:position w:val="0"/>
                <w:szCs w:val="21"/>
                <w:highlight w:val="none"/>
              </w:rPr>
            </w:pPr>
            <w:r>
              <w:rPr>
                <w:rFonts w:hint="eastAsia" w:hAnsi="宋体" w:cs="宋体"/>
                <w:color w:val="auto"/>
                <w:szCs w:val="21"/>
                <w:highlight w:val="none"/>
                <w:lang w:eastAsia="zh-CN"/>
              </w:rPr>
              <w:t>（</w:t>
            </w:r>
            <w:r>
              <w:rPr>
                <w:rFonts w:hint="eastAsia" w:hAnsi="宋体" w:cs="宋体"/>
                <w:color w:val="auto"/>
                <w:szCs w:val="21"/>
                <w:highlight w:val="none"/>
                <w:lang w:val="en-US" w:eastAsia="zh-CN"/>
              </w:rPr>
              <w:t>8</w:t>
            </w:r>
            <w:r>
              <w:rPr>
                <w:rFonts w:hint="eastAsia" w:hAnsi="宋体" w:cs="宋体"/>
                <w:color w:val="auto"/>
                <w:szCs w:val="21"/>
                <w:highlight w:val="none"/>
                <w:lang w:eastAsia="zh-CN"/>
              </w:rPr>
              <w:t>）</w:t>
            </w:r>
            <w:r>
              <w:rPr>
                <w:rFonts w:hint="eastAsia" w:ascii="宋体" w:hAnsi="宋体"/>
                <w:color w:val="auto"/>
                <w:spacing w:val="-4"/>
                <w:sz w:val="21"/>
                <w:szCs w:val="21"/>
                <w:highlight w:val="none"/>
              </w:rPr>
              <w:t>以联合体形式参与投标的，联合体各方均未再以自己名义单独或参加其他联合体在</w:t>
            </w:r>
            <w:r>
              <w:rPr>
                <w:rFonts w:hint="eastAsia" w:hAnsi="宋体"/>
                <w:color w:val="auto"/>
                <w:spacing w:val="-4"/>
                <w:sz w:val="21"/>
                <w:szCs w:val="21"/>
                <w:highlight w:val="none"/>
                <w:lang w:val="en-US" w:eastAsia="zh-CN"/>
              </w:rPr>
              <w:t>本项目</w:t>
            </w:r>
            <w:r>
              <w:rPr>
                <w:rFonts w:hint="eastAsia" w:ascii="宋体" w:hAnsi="宋体"/>
                <w:color w:val="auto"/>
                <w:spacing w:val="-4"/>
                <w:sz w:val="21"/>
                <w:szCs w:val="21"/>
                <w:highlight w:val="none"/>
              </w:rPr>
              <w:t>中投标；独立参与投标的，投标人未同时参加联合体在</w:t>
            </w:r>
            <w:r>
              <w:rPr>
                <w:rFonts w:hint="eastAsia" w:hAnsi="宋体"/>
                <w:color w:val="auto"/>
                <w:spacing w:val="-4"/>
                <w:sz w:val="21"/>
                <w:szCs w:val="21"/>
                <w:highlight w:val="none"/>
                <w:lang w:val="en-US" w:eastAsia="zh-CN"/>
              </w:rPr>
              <w:t>本项目</w:t>
            </w:r>
            <w:r>
              <w:rPr>
                <w:rFonts w:hint="eastAsia" w:ascii="宋体" w:hAnsi="宋体"/>
                <w:color w:val="auto"/>
                <w:spacing w:val="-4"/>
                <w:sz w:val="21"/>
                <w:szCs w:val="21"/>
                <w:highlight w:val="none"/>
              </w:rPr>
              <w:t>中投标。</w:t>
            </w:r>
          </w:p>
        </w:tc>
      </w:tr>
      <w:tr w14:paraId="345DA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87" w:hRule="atLeast"/>
          <w:jc w:val="center"/>
        </w:trPr>
        <w:tc>
          <w:tcPr>
            <w:tcW w:w="2080" w:type="dxa"/>
            <w:gridSpan w:val="2"/>
            <w:tcBorders>
              <w:top w:val="single" w:color="auto" w:sz="4" w:space="0"/>
              <w:bottom w:val="single" w:color="auto" w:sz="4" w:space="0"/>
              <w:right w:val="single" w:color="auto" w:sz="4" w:space="0"/>
            </w:tcBorders>
            <w:noWrap w:val="0"/>
            <w:vAlign w:val="center"/>
          </w:tcPr>
          <w:p w14:paraId="0BD0FFD5">
            <w:pPr>
              <w:keepNext w:val="0"/>
              <w:keepLines w:val="0"/>
              <w:pageBreakBefore w:val="0"/>
              <w:widowControl w:val="0"/>
              <w:kinsoku/>
              <w:wordWrap/>
              <w:overflowPunct/>
              <w:topLinePunct w:val="0"/>
              <w:bidi w:val="0"/>
              <w:adjustRightInd/>
              <w:snapToGrid/>
              <w:spacing w:line="288" w:lineRule="auto"/>
              <w:ind w:left="0" w:right="0"/>
              <w:jc w:val="center"/>
              <w:textAlignment w:val="auto"/>
              <w:rPr>
                <w:rFonts w:ascii="宋体" w:hAnsi="宋体"/>
                <w:caps w:val="0"/>
                <w:color w:val="auto"/>
                <w:spacing w:val="0"/>
                <w:position w:val="0"/>
                <w:szCs w:val="21"/>
                <w:highlight w:val="none"/>
              </w:rPr>
            </w:pPr>
            <w:r>
              <w:rPr>
                <w:rFonts w:hint="eastAsia" w:ascii="宋体" w:hAnsi="宋体" w:cs="宋体"/>
                <w:caps w:val="0"/>
                <w:color w:val="auto"/>
                <w:spacing w:val="0"/>
                <w:kern w:val="21"/>
                <w:position w:val="0"/>
                <w:szCs w:val="21"/>
                <w:highlight w:val="none"/>
              </w:rPr>
              <w:t>增加：2.1.4</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629E48F9">
            <w:pPr>
              <w:keepNext w:val="0"/>
              <w:keepLines w:val="0"/>
              <w:pageBreakBefore w:val="0"/>
              <w:widowControl w:val="0"/>
              <w:kinsoku/>
              <w:wordWrap/>
              <w:overflowPunct/>
              <w:topLinePunct w:val="0"/>
              <w:bidi w:val="0"/>
              <w:adjustRightInd/>
              <w:snapToGrid/>
              <w:spacing w:line="288" w:lineRule="auto"/>
              <w:ind w:left="0" w:right="0"/>
              <w:jc w:val="center"/>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投标文件相关</w:t>
            </w:r>
          </w:p>
          <w:p w14:paraId="1C5E212F">
            <w:pPr>
              <w:keepNext w:val="0"/>
              <w:keepLines w:val="0"/>
              <w:pageBreakBefore w:val="0"/>
              <w:widowControl w:val="0"/>
              <w:kinsoku/>
              <w:wordWrap/>
              <w:overflowPunct/>
              <w:topLinePunct w:val="0"/>
              <w:bidi w:val="0"/>
              <w:adjustRightInd/>
              <w:snapToGrid/>
              <w:spacing w:line="288" w:lineRule="auto"/>
              <w:ind w:left="0" w:right="0"/>
              <w:jc w:val="center"/>
              <w:textAlignment w:val="auto"/>
              <w:rPr>
                <w:rFonts w:ascii="宋体" w:hAnsi="宋体" w:cs="宋体"/>
                <w:caps w:val="0"/>
                <w:color w:val="auto"/>
                <w:spacing w:val="0"/>
                <w:position w:val="0"/>
                <w:szCs w:val="21"/>
                <w:highlight w:val="none"/>
              </w:rPr>
            </w:pPr>
            <w:r>
              <w:rPr>
                <w:rFonts w:hint="eastAsia" w:ascii="宋体" w:hAnsi="宋体" w:cs="宋体"/>
                <w:caps w:val="0"/>
                <w:color w:val="auto"/>
                <w:spacing w:val="0"/>
                <w:position w:val="0"/>
                <w:szCs w:val="21"/>
                <w:highlight w:val="none"/>
              </w:rPr>
              <w:t>信息的核查</w:t>
            </w:r>
          </w:p>
        </w:tc>
        <w:tc>
          <w:tcPr>
            <w:tcW w:w="6017" w:type="dxa"/>
            <w:gridSpan w:val="3"/>
            <w:tcBorders>
              <w:top w:val="single" w:color="auto" w:sz="4" w:space="0"/>
              <w:left w:val="single" w:color="auto" w:sz="4" w:space="0"/>
              <w:bottom w:val="single" w:color="auto" w:sz="4" w:space="0"/>
              <w:right w:val="single" w:color="auto" w:sz="4" w:space="0"/>
            </w:tcBorders>
            <w:noWrap w:val="0"/>
            <w:vAlign w:val="center"/>
          </w:tcPr>
          <w:p w14:paraId="44B52105">
            <w:pPr>
              <w:keepNext w:val="0"/>
              <w:keepLines w:val="0"/>
              <w:pageBreakBefore w:val="0"/>
              <w:widowControl w:val="0"/>
              <w:kinsoku/>
              <w:wordWrap/>
              <w:overflowPunct/>
              <w:topLinePunct w:val="0"/>
              <w:bidi w:val="0"/>
              <w:adjustRightInd/>
              <w:snapToGrid/>
              <w:spacing w:line="288" w:lineRule="auto"/>
              <w:ind w:left="0" w:right="0" w:firstLine="420" w:firstLineChars="200"/>
              <w:textAlignment w:val="auto"/>
              <w:rPr>
                <w:rFonts w:ascii="宋体" w:hAnsi="宋体" w:cs="宋体"/>
                <w:caps w:val="0"/>
                <w:color w:val="auto"/>
                <w:spacing w:val="0"/>
                <w:kern w:val="21"/>
                <w:position w:val="0"/>
                <w:szCs w:val="21"/>
                <w:highlight w:val="none"/>
              </w:rPr>
            </w:pPr>
            <w:r>
              <w:rPr>
                <w:rFonts w:hint="eastAsia" w:ascii="宋体" w:hAnsi="宋体" w:cs="宋体"/>
                <w:caps w:val="0"/>
                <w:color w:val="auto"/>
                <w:spacing w:val="0"/>
                <w:kern w:val="21"/>
                <w:position w:val="0"/>
                <w:szCs w:val="21"/>
                <w:highlight w:val="none"/>
              </w:rPr>
              <w:t>在评标过程中，评标委员会应对以下信息进行核实</w:t>
            </w:r>
          </w:p>
          <w:p w14:paraId="0895E4A4">
            <w:pPr>
              <w:keepNext w:val="0"/>
              <w:keepLines w:val="0"/>
              <w:pageBreakBefore w:val="0"/>
              <w:widowControl w:val="0"/>
              <w:kinsoku/>
              <w:wordWrap/>
              <w:overflowPunct/>
              <w:topLinePunct w:val="0"/>
              <w:bidi w:val="0"/>
              <w:adjustRightInd/>
              <w:snapToGrid/>
              <w:spacing w:line="288" w:lineRule="auto"/>
              <w:ind w:right="0" w:firstLine="420" w:firstLineChars="200"/>
              <w:textAlignment w:val="auto"/>
              <w:rPr>
                <w:rFonts w:ascii="宋体" w:hAnsi="宋体" w:cs="宋体"/>
                <w:caps w:val="0"/>
                <w:color w:val="auto"/>
                <w:spacing w:val="0"/>
                <w:kern w:val="21"/>
                <w:position w:val="0"/>
                <w:szCs w:val="21"/>
                <w:highlight w:val="none"/>
              </w:rPr>
            </w:pPr>
            <w:r>
              <w:rPr>
                <w:rFonts w:hint="eastAsia" w:ascii="宋体" w:hAnsi="宋体" w:cs="宋体"/>
                <w:caps w:val="0"/>
                <w:color w:val="auto"/>
                <w:spacing w:val="0"/>
                <w:kern w:val="21"/>
                <w:position w:val="0"/>
                <w:szCs w:val="21"/>
                <w:highlight w:val="none"/>
              </w:rPr>
              <w:t>1.</w:t>
            </w:r>
            <w:r>
              <w:rPr>
                <w:rFonts w:hint="eastAsia" w:ascii="宋体" w:hAnsi="宋体" w:eastAsia="宋体" w:cs="宋体"/>
                <w:color w:val="000000"/>
                <w:kern w:val="0"/>
                <w:sz w:val="21"/>
                <w:szCs w:val="21"/>
                <w:highlight w:val="none"/>
                <w:lang w:val="en-US" w:eastAsia="zh-CN" w:bidi="ar"/>
              </w:rPr>
              <w:t>投标人信用情况网页截图内容与在“信用中国”网站(http://www.creditchina.gov.cn/)中被列入失信被执行人、经营异常名录、重大税收违法失信主体、安全生产严重失信主体名单和政府采购严重违法失信行为记录名单（均不含分公司）及国家企业信用信息公示系统（http：//www.gsxt.gov.cn/）中被列入严重违法失信名单（黑名单）</w:t>
            </w:r>
            <w:r>
              <w:rPr>
                <w:rFonts w:hint="eastAsia" w:ascii="宋体" w:hAnsi="宋体" w:cs="宋体"/>
                <w:color w:val="000000"/>
                <w:kern w:val="0"/>
                <w:sz w:val="21"/>
                <w:szCs w:val="21"/>
                <w:highlight w:val="none"/>
                <w:lang w:val="en-US" w:eastAsia="zh-CN" w:bidi="ar"/>
              </w:rPr>
              <w:t>的投标人（不含分公司）</w:t>
            </w:r>
            <w:r>
              <w:rPr>
                <w:rFonts w:hint="eastAsia" w:ascii="宋体" w:hAnsi="宋体" w:eastAsia="宋体" w:cs="宋体"/>
                <w:color w:val="000000"/>
                <w:kern w:val="0"/>
                <w:sz w:val="21"/>
                <w:szCs w:val="21"/>
                <w:highlight w:val="none"/>
                <w:lang w:val="en-US" w:eastAsia="zh-CN" w:bidi="ar"/>
              </w:rPr>
              <w:t>复核结果一致</w:t>
            </w:r>
            <w:r>
              <w:rPr>
                <w:rFonts w:hint="eastAsia" w:ascii="宋体" w:hAnsi="宋体" w:cs="宋体"/>
                <w:caps w:val="0"/>
                <w:color w:val="auto"/>
                <w:spacing w:val="0"/>
                <w:kern w:val="21"/>
                <w:position w:val="0"/>
                <w:szCs w:val="21"/>
                <w:highlight w:val="none"/>
              </w:rPr>
              <w:t>（联合体各成员均需核实）；</w:t>
            </w:r>
          </w:p>
          <w:p w14:paraId="19531453">
            <w:pPr>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textAlignment w:val="auto"/>
              <w:rPr>
                <w:caps w:val="0"/>
                <w:color w:val="auto"/>
                <w:spacing w:val="0"/>
                <w:position w:val="0"/>
                <w:highlight w:val="none"/>
              </w:rPr>
            </w:pPr>
            <w:r>
              <w:rPr>
                <w:rFonts w:hint="eastAsia"/>
                <w:caps w:val="0"/>
                <w:color w:val="auto"/>
                <w:spacing w:val="0"/>
                <w:position w:val="0"/>
                <w:highlight w:val="none"/>
              </w:rPr>
              <w:t>2.项目经理“全国建筑市场监管公共服务平台”注册建造师信息</w:t>
            </w:r>
            <w:r>
              <w:rPr>
                <w:rFonts w:hint="eastAsia" w:ascii="宋体" w:hAnsi="宋体" w:eastAsia="宋体" w:cs="宋体"/>
                <w:color w:val="000000"/>
                <w:kern w:val="0"/>
                <w:sz w:val="21"/>
                <w:szCs w:val="21"/>
                <w:highlight w:val="none"/>
                <w:lang w:val="en-US" w:eastAsia="zh-CN" w:bidi="ar"/>
              </w:rPr>
              <w:t>复核结果一致</w:t>
            </w:r>
            <w:r>
              <w:rPr>
                <w:rFonts w:hint="eastAsia"/>
                <w:caps w:val="0"/>
                <w:color w:val="auto"/>
                <w:spacing w:val="0"/>
                <w:position w:val="0"/>
                <w:highlight w:val="none"/>
              </w:rPr>
              <w:t>；</w:t>
            </w:r>
          </w:p>
          <w:p w14:paraId="5D2D02F7">
            <w:pPr>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textAlignment w:val="auto"/>
              <w:rPr>
                <w:rFonts w:hint="eastAsia" w:ascii="宋体" w:hAnsi="宋体"/>
                <w:caps w:val="0"/>
                <w:color w:val="auto"/>
                <w:spacing w:val="0"/>
                <w:position w:val="0"/>
                <w:highlight w:val="none"/>
              </w:rPr>
            </w:pPr>
            <w:r>
              <w:rPr>
                <w:rFonts w:hint="eastAsia"/>
                <w:caps w:val="0"/>
                <w:color w:val="auto"/>
                <w:spacing w:val="0"/>
                <w:position w:val="0"/>
                <w:highlight w:val="none"/>
              </w:rPr>
              <w:t>3.设计负责人“全国建筑市场监管公共</w:t>
            </w:r>
            <w:r>
              <w:rPr>
                <w:rFonts w:hint="eastAsia" w:ascii="宋体" w:hAnsi="宋体"/>
                <w:caps w:val="0"/>
                <w:color w:val="auto"/>
                <w:spacing w:val="0"/>
                <w:position w:val="0"/>
                <w:highlight w:val="none"/>
              </w:rPr>
              <w:t>服务平台”注册</w:t>
            </w:r>
            <w:r>
              <w:rPr>
                <w:rFonts w:hint="eastAsia" w:ascii="宋体" w:hAnsi="宋体"/>
                <w:caps w:val="0"/>
                <w:color w:val="auto"/>
                <w:spacing w:val="0"/>
                <w:position w:val="0"/>
                <w:highlight w:val="none"/>
                <w:lang w:val="en-US" w:eastAsia="zh-CN"/>
              </w:rPr>
              <w:t>土木</w:t>
            </w:r>
            <w:r>
              <w:rPr>
                <w:rFonts w:hint="eastAsia" w:ascii="宋体" w:hAnsi="宋体"/>
                <w:caps w:val="0"/>
                <w:color w:val="auto"/>
                <w:spacing w:val="0"/>
                <w:position w:val="0"/>
                <w:highlight w:val="none"/>
              </w:rPr>
              <w:t>工程师执业资格证书</w:t>
            </w:r>
            <w:r>
              <w:rPr>
                <w:rFonts w:hint="eastAsia" w:ascii="宋体" w:hAnsi="宋体" w:eastAsia="宋体" w:cs="宋体"/>
                <w:color w:val="000000"/>
                <w:kern w:val="0"/>
                <w:sz w:val="21"/>
                <w:szCs w:val="21"/>
                <w:highlight w:val="none"/>
                <w:lang w:val="en-US" w:eastAsia="zh-CN" w:bidi="ar"/>
              </w:rPr>
              <w:t>复核</w:t>
            </w:r>
            <w:r>
              <w:rPr>
                <w:rFonts w:hint="eastAsia" w:ascii="宋体" w:hAnsi="宋体" w:eastAsia="宋体" w:cs="宋体"/>
                <w:color w:val="auto"/>
                <w:kern w:val="0"/>
                <w:sz w:val="21"/>
                <w:szCs w:val="21"/>
                <w:highlight w:val="none"/>
                <w:lang w:val="en-US" w:eastAsia="zh-CN" w:bidi="ar"/>
              </w:rPr>
              <w:t>结果一致</w:t>
            </w:r>
            <w:r>
              <w:rPr>
                <w:rFonts w:hint="eastAsia" w:ascii="宋体" w:hAnsi="宋体"/>
                <w:caps w:val="0"/>
                <w:color w:val="auto"/>
                <w:spacing w:val="0"/>
                <w:position w:val="0"/>
                <w:highlight w:val="none"/>
              </w:rPr>
              <w:t>；</w:t>
            </w:r>
          </w:p>
          <w:p w14:paraId="42D32927">
            <w:pPr>
              <w:keepNext w:val="0"/>
              <w:keepLines w:val="0"/>
              <w:pageBreakBefore w:val="0"/>
              <w:widowControl w:val="0"/>
              <w:kinsoku/>
              <w:wordWrap/>
              <w:overflowPunct/>
              <w:topLinePunct w:val="0"/>
              <w:autoSpaceDE w:val="0"/>
              <w:autoSpaceDN w:val="0"/>
              <w:bidi w:val="0"/>
              <w:adjustRightInd/>
              <w:snapToGrid/>
              <w:spacing w:line="288" w:lineRule="auto"/>
              <w:ind w:right="0" w:firstLine="420" w:firstLineChars="200"/>
              <w:textAlignment w:val="auto"/>
              <w:rPr>
                <w:rFonts w:hint="default" w:ascii="宋体" w:hAnsi="宋体" w:eastAsia="宋体"/>
                <w:caps w:val="0"/>
                <w:color w:val="auto"/>
                <w:spacing w:val="0"/>
                <w:position w:val="0"/>
                <w:highlight w:val="none"/>
                <w:lang w:val="en-US" w:eastAsia="zh-CN"/>
              </w:rPr>
            </w:pPr>
            <w:r>
              <w:rPr>
                <w:rFonts w:hint="eastAsia" w:ascii="宋体" w:hAnsi="宋体"/>
                <w:caps w:val="0"/>
                <w:color w:val="auto"/>
                <w:spacing w:val="0"/>
                <w:position w:val="0"/>
                <w:highlight w:val="none"/>
                <w:lang w:val="en-US" w:eastAsia="zh-CN"/>
              </w:rPr>
              <w:t>4.施工负责人</w:t>
            </w:r>
            <w:r>
              <w:rPr>
                <w:rFonts w:hint="eastAsia"/>
                <w:caps w:val="0"/>
                <w:color w:val="auto"/>
                <w:spacing w:val="0"/>
                <w:position w:val="0"/>
                <w:highlight w:val="none"/>
              </w:rPr>
              <w:t>“全国建筑市场监管公共服务平台”注册建造师信息</w:t>
            </w:r>
            <w:r>
              <w:rPr>
                <w:rFonts w:hint="eastAsia" w:ascii="宋体" w:hAnsi="宋体" w:eastAsia="宋体" w:cs="宋体"/>
                <w:color w:val="auto"/>
                <w:kern w:val="0"/>
                <w:sz w:val="21"/>
                <w:szCs w:val="21"/>
                <w:highlight w:val="none"/>
                <w:lang w:val="en-US" w:eastAsia="zh-CN" w:bidi="ar"/>
              </w:rPr>
              <w:t>复核结果一致</w:t>
            </w:r>
            <w:r>
              <w:rPr>
                <w:rFonts w:hint="eastAsia"/>
                <w:caps w:val="0"/>
                <w:color w:val="auto"/>
                <w:spacing w:val="0"/>
                <w:position w:val="0"/>
                <w:highlight w:val="none"/>
              </w:rPr>
              <w:t>；</w:t>
            </w:r>
          </w:p>
          <w:p w14:paraId="673F3471">
            <w:pPr>
              <w:keepNext w:val="0"/>
              <w:keepLines w:val="0"/>
              <w:pageBreakBefore w:val="0"/>
              <w:widowControl w:val="0"/>
              <w:kinsoku/>
              <w:wordWrap/>
              <w:overflowPunct/>
              <w:topLinePunct w:val="0"/>
              <w:bidi w:val="0"/>
              <w:adjustRightInd/>
              <w:snapToGrid/>
              <w:spacing w:line="288" w:lineRule="auto"/>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前述（1）、（2）、（3）、（4）项如投标人未提供相关网页截图或所附截图与复核结果不一致导致不能满足资格评审要求的，评标委员会应否决其投标。</w:t>
            </w:r>
            <w:r>
              <w:rPr>
                <w:rFonts w:hint="eastAsia" w:ascii="宋体" w:hAnsi="宋体" w:cs="宋体"/>
                <w:color w:val="auto"/>
                <w:szCs w:val="21"/>
                <w:highlight w:val="none"/>
                <w:lang w:val="en-US" w:eastAsia="zh-CN"/>
              </w:rPr>
              <w:t xml:space="preserve">  </w:t>
            </w:r>
          </w:p>
          <w:p w14:paraId="56AE756D">
            <w:pPr>
              <w:keepNext w:val="0"/>
              <w:keepLines w:val="0"/>
              <w:pageBreakBefore w:val="0"/>
              <w:widowControl w:val="0"/>
              <w:kinsoku/>
              <w:wordWrap/>
              <w:overflowPunct/>
              <w:topLinePunct w:val="0"/>
              <w:bidi w:val="0"/>
              <w:adjustRightInd/>
              <w:snapToGrid/>
              <w:spacing w:line="288" w:lineRule="auto"/>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14:paraId="7AE9CEBF">
            <w:pPr>
              <w:keepNext w:val="0"/>
              <w:keepLines w:val="0"/>
              <w:pageBreakBefore w:val="0"/>
              <w:widowControl w:val="0"/>
              <w:kinsoku/>
              <w:wordWrap/>
              <w:overflowPunct/>
              <w:topLinePunct w:val="0"/>
              <w:bidi w:val="0"/>
              <w:adjustRightInd/>
              <w:snapToGrid/>
              <w:spacing w:line="288" w:lineRule="auto"/>
              <w:ind w:firstLine="420" w:firstLineChars="200"/>
              <w:textAlignment w:val="auto"/>
              <w:rPr>
                <w:rFonts w:ascii="宋体" w:hAnsi="宋体"/>
                <w:caps w:val="0"/>
                <w:color w:val="auto"/>
                <w:spacing w:val="0"/>
                <w:position w:val="0"/>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评标委员会在评标时按照投标人提供的验证方式对电子保函或电子保证保险进行验证。如投标人未提供电子保函或电子保证保险的验证方式，或根据提供的验证方式无法核实的，评标委员会应否决其投标。</w:t>
            </w:r>
          </w:p>
        </w:tc>
      </w:tr>
      <w:tr w14:paraId="479273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2080" w:type="dxa"/>
            <w:gridSpan w:val="2"/>
            <w:tcBorders>
              <w:top w:val="single" w:color="auto" w:sz="4" w:space="0"/>
              <w:bottom w:val="single" w:color="auto" w:sz="4" w:space="0"/>
              <w:right w:val="single" w:color="auto" w:sz="4" w:space="0"/>
            </w:tcBorders>
            <w:noWrap w:val="0"/>
            <w:vAlign w:val="center"/>
          </w:tcPr>
          <w:p w14:paraId="0A154BE6">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条款号</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142DDF3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条款内容</w:t>
            </w:r>
          </w:p>
        </w:tc>
        <w:tc>
          <w:tcPr>
            <w:tcW w:w="6017" w:type="dxa"/>
            <w:gridSpan w:val="3"/>
            <w:tcBorders>
              <w:top w:val="single" w:color="auto" w:sz="4" w:space="0"/>
              <w:left w:val="single" w:color="auto" w:sz="4" w:space="0"/>
              <w:bottom w:val="single" w:color="auto" w:sz="4" w:space="0"/>
              <w:right w:val="single" w:color="auto" w:sz="4" w:space="0"/>
            </w:tcBorders>
            <w:noWrap w:val="0"/>
            <w:vAlign w:val="center"/>
          </w:tcPr>
          <w:p w14:paraId="53F3B27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编列内容</w:t>
            </w:r>
          </w:p>
        </w:tc>
      </w:tr>
      <w:tr w14:paraId="57F3C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80" w:type="dxa"/>
            <w:gridSpan w:val="2"/>
            <w:tcBorders>
              <w:bottom w:val="single" w:color="auto" w:sz="4" w:space="0"/>
              <w:right w:val="single" w:color="auto" w:sz="4" w:space="0"/>
            </w:tcBorders>
            <w:noWrap w:val="0"/>
            <w:vAlign w:val="center"/>
          </w:tcPr>
          <w:p w14:paraId="2E2B0E3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2.2.1</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0256772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分值构成</w:t>
            </w:r>
          </w:p>
          <w:p w14:paraId="7980BAC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(总分100分)</w:t>
            </w:r>
          </w:p>
        </w:tc>
        <w:tc>
          <w:tcPr>
            <w:tcW w:w="6017" w:type="dxa"/>
            <w:gridSpan w:val="3"/>
            <w:tcBorders>
              <w:top w:val="single" w:color="auto" w:sz="4" w:space="0"/>
              <w:left w:val="single" w:color="auto" w:sz="4" w:space="0"/>
              <w:bottom w:val="single" w:color="auto" w:sz="4" w:space="0"/>
              <w:right w:val="single" w:color="auto" w:sz="4" w:space="0"/>
            </w:tcBorders>
            <w:noWrap w:val="0"/>
            <w:vAlign w:val="center"/>
          </w:tcPr>
          <w:p w14:paraId="7FCCA0F7">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承包人实施方案3</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分（设计方案：10分，施工方案：2</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w:t>
            </w:r>
          </w:p>
          <w:p w14:paraId="14689287">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项目管理机构：3分</w:t>
            </w:r>
          </w:p>
          <w:p w14:paraId="47E8E0AC">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投标报价：50分</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lang w:val="en-US" w:eastAsia="zh-CN"/>
              </w:rPr>
              <w:t>其中设计费部分10分，工程费部分40分</w:t>
            </w:r>
            <w:r>
              <w:rPr>
                <w:rFonts w:hint="eastAsia" w:ascii="宋体" w:hAnsi="宋体" w:eastAsia="宋体" w:cs="宋体"/>
                <w:caps w:val="0"/>
                <w:color w:val="auto"/>
                <w:spacing w:val="0"/>
                <w:position w:val="0"/>
                <w:sz w:val="21"/>
                <w:szCs w:val="21"/>
                <w:highlight w:val="none"/>
                <w:lang w:eastAsia="zh-CN"/>
              </w:rPr>
              <w:t>）</w:t>
            </w:r>
          </w:p>
          <w:p w14:paraId="6FA946E1">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其他因素：1</w:t>
            </w:r>
            <w:r>
              <w:rPr>
                <w:rFonts w:hint="eastAsia" w:ascii="宋体" w:hAnsi="宋体" w:eastAsia="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rPr>
              <w:t>分</w:t>
            </w:r>
          </w:p>
        </w:tc>
      </w:tr>
      <w:tr w14:paraId="292B80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0" w:type="dxa"/>
            <w:gridSpan w:val="2"/>
            <w:tcBorders>
              <w:bottom w:val="single" w:color="auto" w:sz="4" w:space="0"/>
              <w:right w:val="single" w:color="auto" w:sz="4" w:space="0"/>
            </w:tcBorders>
            <w:noWrap w:val="0"/>
            <w:vAlign w:val="center"/>
          </w:tcPr>
          <w:p w14:paraId="14FFF73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2.2.2</w:t>
            </w:r>
          </w:p>
          <w:p w14:paraId="54F9E08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lang w:val="en-US" w:eastAsia="zh-CN"/>
              </w:rPr>
              <w:t>1）</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529BE69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评标基准价计算</w:t>
            </w:r>
          </w:p>
        </w:tc>
        <w:tc>
          <w:tcPr>
            <w:tcW w:w="6017" w:type="dxa"/>
            <w:gridSpan w:val="3"/>
            <w:tcBorders>
              <w:top w:val="single" w:color="auto" w:sz="4" w:space="0"/>
              <w:left w:val="single" w:color="auto" w:sz="4" w:space="0"/>
              <w:bottom w:val="single" w:color="auto" w:sz="4" w:space="0"/>
              <w:right w:val="single" w:color="auto" w:sz="4" w:space="0"/>
            </w:tcBorders>
            <w:noWrap w:val="0"/>
            <w:vAlign w:val="center"/>
          </w:tcPr>
          <w:p w14:paraId="2119FC00">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评标基准价的计算：</w:t>
            </w:r>
          </w:p>
          <w:p w14:paraId="4171E757">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在开标现场，当场计算并宣布评标基准价。</w:t>
            </w:r>
          </w:p>
          <w:p w14:paraId="27D066D3">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（1）评标价的确定：</w:t>
            </w:r>
          </w:p>
          <w:p w14:paraId="3B018E21">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评标价＝投标函文字报价</w:t>
            </w:r>
          </w:p>
          <w:p w14:paraId="336DECEB">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（2）评标价平均值的计算：</w:t>
            </w:r>
          </w:p>
          <w:p w14:paraId="6E57DE24">
            <w:pPr>
              <w:pStyle w:val="6"/>
              <w:keepNext w:val="0"/>
              <w:keepLines w:val="0"/>
              <w:pageBreakBefore w:val="0"/>
              <w:widowControl w:val="0"/>
              <w:kinsoku/>
              <w:wordWrap/>
              <w:overflowPunct/>
              <w:topLinePunct w:val="0"/>
              <w:autoSpaceDE/>
              <w:autoSpaceDN/>
              <w:bidi w:val="0"/>
              <w:adjustRightInd/>
              <w:snapToGrid/>
              <w:spacing w:line="288" w:lineRule="auto"/>
              <w:ind w:firstLine="21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除按第二章“投标人须知”第 5.2.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 xml:space="preserve"> 项规定开标现场被宣布为不进入评标基准价计算的投标报价之外，所有投标人的评标价去掉n1个最高评标价值和n2个最低评标价值后的算术平均值即为评标价平均值（评标价平均值保留小数点后两位，小数点后第三位四舍五入）：</w:t>
            </w:r>
          </w:p>
          <w:p w14:paraId="481F0228">
            <w:pPr>
              <w:pStyle w:val="6"/>
              <w:keepNext w:val="0"/>
              <w:keepLines w:val="0"/>
              <w:pageBreakBefore w:val="0"/>
              <w:widowControl w:val="0"/>
              <w:kinsoku/>
              <w:wordWrap/>
              <w:overflowPunct/>
              <w:topLinePunct w:val="0"/>
              <w:autoSpaceDE/>
              <w:autoSpaceDN/>
              <w:bidi w:val="0"/>
              <w:adjustRightInd/>
              <w:snapToGrid/>
              <w:spacing w:line="288" w:lineRule="auto"/>
              <w:ind w:firstLine="21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如果参与评标价平均值计算的投标人数量＜</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家时，n1=0，n2=0；</w:t>
            </w:r>
          </w:p>
          <w:p w14:paraId="1908669E">
            <w:pPr>
              <w:pStyle w:val="6"/>
              <w:keepNext w:val="0"/>
              <w:keepLines w:val="0"/>
              <w:pageBreakBefore w:val="0"/>
              <w:widowControl w:val="0"/>
              <w:kinsoku/>
              <w:wordWrap/>
              <w:overflowPunct/>
              <w:topLinePunct w:val="0"/>
              <w:autoSpaceDE/>
              <w:autoSpaceDN/>
              <w:bidi w:val="0"/>
              <w:adjustRightInd/>
              <w:snapToGrid/>
              <w:spacing w:line="288" w:lineRule="auto"/>
              <w:ind w:firstLine="21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家≤参与评标价平均值计算的投标人数量＜</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家时，n1=1，n2=1；</w:t>
            </w:r>
          </w:p>
          <w:p w14:paraId="27A3E695">
            <w:pPr>
              <w:pStyle w:val="6"/>
              <w:keepNext w:val="0"/>
              <w:keepLines w:val="0"/>
              <w:pageBreakBefore w:val="0"/>
              <w:widowControl w:val="0"/>
              <w:kinsoku/>
              <w:wordWrap/>
              <w:overflowPunct/>
              <w:topLinePunct w:val="0"/>
              <w:autoSpaceDE/>
              <w:autoSpaceDN/>
              <w:bidi w:val="0"/>
              <w:adjustRightInd/>
              <w:snapToGrid/>
              <w:spacing w:line="288" w:lineRule="auto"/>
              <w:ind w:firstLine="21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家≤参与评标价平均值计算的投标人数量＜</w:t>
            </w: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家时，n1=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，n2=</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w:t>
            </w:r>
          </w:p>
          <w:p w14:paraId="5D6E2939">
            <w:pPr>
              <w:pStyle w:val="6"/>
              <w:keepNext w:val="0"/>
              <w:keepLines w:val="0"/>
              <w:pageBreakBefore w:val="0"/>
              <w:widowControl w:val="0"/>
              <w:kinsoku/>
              <w:wordWrap/>
              <w:overflowPunct/>
              <w:topLinePunct w:val="0"/>
              <w:autoSpaceDE/>
              <w:autoSpaceDN/>
              <w:bidi w:val="0"/>
              <w:adjustRightInd/>
              <w:snapToGrid/>
              <w:spacing w:line="288" w:lineRule="auto"/>
              <w:ind w:firstLine="211"/>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11</w:t>
            </w:r>
            <w:r>
              <w:rPr>
                <w:rFonts w:hint="eastAsia" w:ascii="宋体" w:hAnsi="宋体" w:eastAsia="宋体" w:cs="宋体"/>
                <w:b/>
                <w:color w:val="auto"/>
                <w:sz w:val="21"/>
                <w:szCs w:val="21"/>
                <w:highlight w:val="none"/>
              </w:rPr>
              <w:t>家≤参与评标价平均值计算的投标人数量，n1=</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，n2=</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w:t>
            </w:r>
          </w:p>
          <w:p w14:paraId="5C7A3AD0">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（3）评标基准价的确定：</w:t>
            </w:r>
          </w:p>
          <w:p w14:paraId="30474C44">
            <w:pPr>
              <w:pStyle w:val="6"/>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将评标价平均值直接作为评标基准价。</w:t>
            </w:r>
          </w:p>
          <w:p w14:paraId="14926DFB">
            <w:pPr>
              <w:keepNext w:val="0"/>
              <w:keepLines w:val="0"/>
              <w:pageBreakBefore w:val="0"/>
              <w:widowControl w:val="0"/>
              <w:kinsoku/>
              <w:wordWrap/>
              <w:overflowPunct/>
              <w:topLinePunct w:val="0"/>
              <w:autoSpaceDE/>
              <w:autoSpaceDN/>
              <w:bidi w:val="0"/>
              <w:adjustRightInd/>
              <w:snapToGrid/>
              <w:spacing w:line="288" w:lineRule="auto"/>
              <w:ind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olor w:val="auto"/>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6DB47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80" w:type="dxa"/>
            <w:gridSpan w:val="2"/>
            <w:tcBorders>
              <w:top w:val="nil"/>
              <w:bottom w:val="single" w:color="auto" w:sz="4" w:space="0"/>
              <w:right w:val="single" w:color="auto" w:sz="4" w:space="0"/>
            </w:tcBorders>
            <w:noWrap w:val="0"/>
            <w:vAlign w:val="center"/>
          </w:tcPr>
          <w:p w14:paraId="10A3ED3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rPr>
              <w:t>2.2.</w:t>
            </w:r>
            <w:r>
              <w:rPr>
                <w:rFonts w:hint="eastAsia" w:ascii="宋体" w:hAnsi="宋体" w:eastAsia="宋体" w:cs="宋体"/>
                <w:caps w:val="0"/>
                <w:color w:val="auto"/>
                <w:spacing w:val="0"/>
                <w:position w:val="0"/>
                <w:sz w:val="21"/>
                <w:szCs w:val="21"/>
                <w:highlight w:val="none"/>
                <w:lang w:val="en-US" w:eastAsia="zh-CN"/>
              </w:rPr>
              <w:t>2</w:t>
            </w:r>
          </w:p>
          <w:p w14:paraId="5C8372E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（2）</w:t>
            </w:r>
          </w:p>
        </w:tc>
        <w:tc>
          <w:tcPr>
            <w:tcW w:w="2299" w:type="dxa"/>
            <w:gridSpan w:val="3"/>
            <w:tcBorders>
              <w:top w:val="single" w:color="auto" w:sz="4" w:space="0"/>
              <w:left w:val="single" w:color="auto" w:sz="4" w:space="0"/>
              <w:bottom w:val="single" w:color="auto" w:sz="4" w:space="0"/>
              <w:right w:val="single" w:color="auto" w:sz="4" w:space="0"/>
            </w:tcBorders>
            <w:noWrap w:val="0"/>
            <w:vAlign w:val="center"/>
          </w:tcPr>
          <w:p w14:paraId="29F37983">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投标报价的</w:t>
            </w:r>
          </w:p>
          <w:p w14:paraId="711C37C3">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偏差率计算公式</w:t>
            </w:r>
          </w:p>
        </w:tc>
        <w:tc>
          <w:tcPr>
            <w:tcW w:w="6017" w:type="dxa"/>
            <w:gridSpan w:val="3"/>
            <w:tcBorders>
              <w:top w:val="single" w:color="auto" w:sz="4" w:space="0"/>
              <w:left w:val="single" w:color="auto" w:sz="4" w:space="0"/>
              <w:bottom w:val="single" w:color="auto" w:sz="4" w:space="0"/>
              <w:right w:val="single" w:color="auto" w:sz="4" w:space="0"/>
            </w:tcBorders>
            <w:noWrap w:val="0"/>
            <w:vAlign w:val="center"/>
          </w:tcPr>
          <w:p w14:paraId="6F350BEB">
            <w:pPr>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偏差率=100%×（投标人报价-评标基准价）/评标基准价</w:t>
            </w:r>
          </w:p>
          <w:p w14:paraId="1A0047B7">
            <w:pPr>
              <w:pStyle w:val="3"/>
              <w:keepNext w:val="0"/>
              <w:keepLines w:val="0"/>
              <w:pageBreakBefore w:val="0"/>
              <w:widowControl w:val="0"/>
              <w:kinsoku/>
              <w:wordWrap/>
              <w:overflowPunct/>
              <w:topLinePunct w:val="0"/>
              <w:autoSpaceDE/>
              <w:autoSpaceDN/>
              <w:bidi w:val="0"/>
              <w:adjustRightInd/>
              <w:snapToGrid/>
              <w:spacing w:before="0" w:line="288"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偏差率保留 2 位小数</w:t>
            </w:r>
          </w:p>
        </w:tc>
      </w:tr>
      <w:tr w14:paraId="1B32B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6" w:hRule="atLeast"/>
          <w:jc w:val="center"/>
        </w:trPr>
        <w:tc>
          <w:tcPr>
            <w:tcW w:w="956" w:type="dxa"/>
            <w:vMerge w:val="restart"/>
            <w:tcBorders>
              <w:top w:val="nil"/>
              <w:right w:val="single" w:color="auto" w:sz="4" w:space="0"/>
            </w:tcBorders>
            <w:shd w:val="clear" w:color="auto" w:fill="auto"/>
            <w:noWrap w:val="0"/>
            <w:vAlign w:val="center"/>
          </w:tcPr>
          <w:p w14:paraId="1448CF8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position w:val="0"/>
                <w:sz w:val="21"/>
                <w:szCs w:val="21"/>
                <w:highlight w:val="none"/>
              </w:rPr>
              <w:t>2.2.</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（3）</w:t>
            </w:r>
          </w:p>
          <w:p w14:paraId="4875B00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p>
        </w:tc>
        <w:tc>
          <w:tcPr>
            <w:tcW w:w="1124" w:type="dxa"/>
            <w:vMerge w:val="restart"/>
            <w:tcBorders>
              <w:top w:val="nil"/>
              <w:right w:val="single" w:color="auto" w:sz="4" w:space="0"/>
            </w:tcBorders>
            <w:shd w:val="clear" w:color="auto" w:fill="auto"/>
            <w:noWrap w:val="0"/>
            <w:vAlign w:val="center"/>
          </w:tcPr>
          <w:p w14:paraId="5A6A1AB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投标报价评分标准</w:t>
            </w:r>
          </w:p>
          <w:p w14:paraId="1570A3A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kern w:val="2"/>
                <w:position w:val="0"/>
                <w:sz w:val="21"/>
                <w:szCs w:val="21"/>
                <w:highlight w:val="none"/>
                <w:lang w:val="en-US" w:eastAsia="zh-CN" w:bidi="ar-SA"/>
              </w:rPr>
            </w:pPr>
            <w:r>
              <w:rPr>
                <w:rFonts w:hint="eastAsia" w:ascii="宋体" w:hAnsi="宋体" w:eastAsia="宋体" w:cs="宋体"/>
                <w:caps w:val="0"/>
                <w:color w:val="auto"/>
                <w:spacing w:val="0"/>
                <w:position w:val="0"/>
                <w:sz w:val="21"/>
                <w:szCs w:val="21"/>
                <w:highlight w:val="none"/>
              </w:rPr>
              <w:t>（50分）</w:t>
            </w:r>
          </w:p>
          <w:p w14:paraId="30BF0A8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p>
        </w:tc>
        <w:tc>
          <w:tcPr>
            <w:tcW w:w="229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A38DC05">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设计</w:t>
            </w:r>
          </w:p>
          <w:p w14:paraId="59B8ECA0">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color w:val="auto"/>
                <w:spacing w:val="0"/>
                <w:kern w:val="0"/>
                <w:position w:val="0"/>
                <w:sz w:val="21"/>
                <w:szCs w:val="21"/>
                <w:highlight w:val="none"/>
                <w:lang w:val="en-US" w:eastAsia="zh-CN" w:bidi="ar-SA"/>
              </w:rPr>
            </w:pPr>
            <w:r>
              <w:rPr>
                <w:rFonts w:hint="eastAsia" w:ascii="宋体" w:hAnsi="宋体" w:eastAsia="宋体" w:cs="宋体"/>
                <w:caps w:val="0"/>
                <w:smallCaps w:val="0"/>
                <w:color w:val="auto"/>
                <w:spacing w:val="0"/>
                <w:kern w:val="0"/>
                <w:position w:val="0"/>
                <w:sz w:val="21"/>
                <w:szCs w:val="21"/>
                <w:highlight w:val="none"/>
              </w:rPr>
              <w:t>投标报</w:t>
            </w:r>
            <w:r>
              <w:rPr>
                <w:rFonts w:hint="eastAsia" w:ascii="宋体" w:hAnsi="宋体" w:eastAsia="宋体" w:cs="宋体"/>
                <w:caps w:val="0"/>
                <w:smallCaps w:val="0"/>
                <w:color w:val="auto"/>
                <w:spacing w:val="0"/>
                <w:kern w:val="0"/>
                <w:position w:val="0"/>
                <w:sz w:val="21"/>
                <w:szCs w:val="21"/>
                <w:highlight w:val="none"/>
                <w:lang w:val="en-US" w:eastAsia="zh-CN"/>
              </w:rPr>
              <w:t>价</w:t>
            </w:r>
            <w:r>
              <w:rPr>
                <w:rFonts w:hint="eastAsia" w:ascii="宋体" w:hAnsi="宋体" w:eastAsia="宋体" w:cs="宋体"/>
                <w:caps w:val="0"/>
                <w:smallCaps w:val="0"/>
                <w:color w:val="auto"/>
                <w:spacing w:val="0"/>
                <w:kern w:val="0"/>
                <w:position w:val="0"/>
                <w:sz w:val="21"/>
                <w:szCs w:val="21"/>
                <w:highlight w:val="none"/>
              </w:rPr>
              <w:t>（</w:t>
            </w:r>
            <w:r>
              <w:rPr>
                <w:rFonts w:hint="eastAsia" w:ascii="宋体" w:hAnsi="宋体" w:eastAsia="宋体" w:cs="宋体"/>
                <w:caps w:val="0"/>
                <w:smallCaps w:val="0"/>
                <w:color w:val="auto"/>
                <w:spacing w:val="0"/>
                <w:kern w:val="0"/>
                <w:position w:val="0"/>
                <w:sz w:val="21"/>
                <w:szCs w:val="21"/>
                <w:highlight w:val="none"/>
                <w:lang w:val="en-US" w:eastAsia="zh-CN"/>
              </w:rPr>
              <w:t>10</w:t>
            </w:r>
            <w:r>
              <w:rPr>
                <w:rFonts w:hint="eastAsia" w:ascii="宋体" w:hAnsi="宋体" w:eastAsia="宋体" w:cs="宋体"/>
                <w:caps w:val="0"/>
                <w:smallCaps w:val="0"/>
                <w:color w:val="auto"/>
                <w:spacing w:val="0"/>
                <w:kern w:val="0"/>
                <w:position w:val="0"/>
                <w:sz w:val="21"/>
                <w:szCs w:val="21"/>
                <w:highlight w:val="none"/>
              </w:rPr>
              <w:t>分）</w:t>
            </w:r>
          </w:p>
        </w:tc>
        <w:tc>
          <w:tcPr>
            <w:tcW w:w="60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90B2E2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评标价得分计算公式示例：</w:t>
            </w:r>
          </w:p>
          <w:p w14:paraId="05097E7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（1）如果投标人的评标价＞评标基准价，则评标价得分=F-（投标人评标价-评标基准价）/评标基准价×100×E1；</w:t>
            </w:r>
          </w:p>
          <w:p w14:paraId="5012D92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（2）如果投标人的评标价≤评标基准价，则评标价得分=F+(投标人评标价-评标基准价)/评标基准价×100×E2。</w:t>
            </w:r>
          </w:p>
          <w:p w14:paraId="3B4C84C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color w:val="auto"/>
                <w:spacing w:val="0"/>
                <w:kern w:val="0"/>
                <w:position w:val="0"/>
                <w:sz w:val="21"/>
                <w:szCs w:val="21"/>
                <w:highlight w:val="none"/>
                <w:lang w:val="en-US" w:eastAsia="zh-CN" w:bidi="ar-SA"/>
              </w:rPr>
            </w:pPr>
            <w:r>
              <w:rPr>
                <w:rFonts w:hint="eastAsia" w:ascii="宋体" w:hAnsi="宋体" w:eastAsia="宋体" w:cs="宋体"/>
                <w:caps w:val="0"/>
                <w:smallCaps w:val="0"/>
                <w:color w:val="auto"/>
                <w:spacing w:val="0"/>
                <w:kern w:val="0"/>
                <w:position w:val="0"/>
                <w:sz w:val="21"/>
                <w:szCs w:val="21"/>
                <w:highlight w:val="none"/>
              </w:rPr>
              <w:t>其中，F=</w:t>
            </w:r>
            <w:r>
              <w:rPr>
                <w:rFonts w:hint="eastAsia" w:ascii="宋体" w:hAnsi="宋体" w:eastAsia="宋体" w:cs="宋体"/>
                <w:caps w:val="0"/>
                <w:smallCaps w:val="0"/>
                <w:color w:val="auto"/>
                <w:spacing w:val="0"/>
                <w:kern w:val="0"/>
                <w:position w:val="0"/>
                <w:sz w:val="21"/>
                <w:szCs w:val="21"/>
                <w:highlight w:val="none"/>
                <w:lang w:val="en-US" w:eastAsia="zh-CN"/>
              </w:rPr>
              <w:t>10</w:t>
            </w:r>
            <w:r>
              <w:rPr>
                <w:rFonts w:hint="eastAsia" w:ascii="宋体" w:hAnsi="宋体" w:eastAsia="宋体" w:cs="宋体"/>
                <w:caps w:val="0"/>
                <w:smallCaps w:val="0"/>
                <w:color w:val="auto"/>
                <w:spacing w:val="0"/>
                <w:kern w:val="0"/>
                <w:position w:val="0"/>
                <w:sz w:val="21"/>
                <w:szCs w:val="21"/>
                <w:highlight w:val="none"/>
              </w:rPr>
              <w:t>；E1=0.</w:t>
            </w:r>
            <w:r>
              <w:rPr>
                <w:rFonts w:hint="eastAsia" w:ascii="宋体" w:hAnsi="宋体" w:eastAsia="宋体" w:cs="宋体"/>
                <w:caps w:val="0"/>
                <w:smallCaps w:val="0"/>
                <w:color w:val="auto"/>
                <w:spacing w:val="0"/>
                <w:kern w:val="0"/>
                <w:position w:val="0"/>
                <w:sz w:val="21"/>
                <w:szCs w:val="21"/>
                <w:highlight w:val="none"/>
                <w:lang w:val="en-US" w:eastAsia="zh-CN"/>
              </w:rPr>
              <w:t>2</w:t>
            </w:r>
            <w:r>
              <w:rPr>
                <w:rFonts w:hint="eastAsia" w:ascii="宋体" w:hAnsi="宋体" w:eastAsia="宋体" w:cs="宋体"/>
                <w:caps w:val="0"/>
                <w:smallCaps w:val="0"/>
                <w:color w:val="auto"/>
                <w:spacing w:val="0"/>
                <w:kern w:val="0"/>
                <w:position w:val="0"/>
                <w:sz w:val="21"/>
                <w:szCs w:val="21"/>
                <w:highlight w:val="none"/>
              </w:rPr>
              <w:t>；E2=0.</w:t>
            </w:r>
            <w:r>
              <w:rPr>
                <w:rFonts w:hint="eastAsia" w:ascii="宋体" w:hAnsi="宋体" w:eastAsia="宋体" w:cs="宋体"/>
                <w:caps w:val="0"/>
                <w:smallCaps w:val="0"/>
                <w:color w:val="auto"/>
                <w:spacing w:val="0"/>
                <w:kern w:val="0"/>
                <w:position w:val="0"/>
                <w:sz w:val="21"/>
                <w:szCs w:val="21"/>
                <w:highlight w:val="none"/>
                <w:lang w:val="en-US" w:eastAsia="zh-CN"/>
              </w:rPr>
              <w:t>1</w:t>
            </w:r>
            <w:r>
              <w:rPr>
                <w:rFonts w:hint="eastAsia" w:ascii="宋体" w:hAnsi="宋体" w:eastAsia="宋体" w:cs="宋体"/>
                <w:caps w:val="0"/>
                <w:smallCaps w:val="0"/>
                <w:color w:val="auto"/>
                <w:spacing w:val="0"/>
                <w:kern w:val="0"/>
                <w:position w:val="0"/>
                <w:sz w:val="21"/>
                <w:szCs w:val="21"/>
                <w:highlight w:val="none"/>
              </w:rPr>
              <w:t>；评标价最低得分为0分。得分保留2位小数</w:t>
            </w:r>
          </w:p>
        </w:tc>
      </w:tr>
      <w:tr w14:paraId="4280AA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2" w:hRule="atLeast"/>
          <w:jc w:val="center"/>
        </w:trPr>
        <w:tc>
          <w:tcPr>
            <w:tcW w:w="956" w:type="dxa"/>
            <w:vMerge w:val="continue"/>
            <w:tcBorders>
              <w:bottom w:val="single" w:color="auto" w:sz="4" w:space="0"/>
              <w:right w:val="single" w:color="auto" w:sz="4" w:space="0"/>
            </w:tcBorders>
            <w:noWrap w:val="0"/>
            <w:vAlign w:val="center"/>
          </w:tcPr>
          <w:p w14:paraId="1373799F">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p>
        </w:tc>
        <w:tc>
          <w:tcPr>
            <w:tcW w:w="1124" w:type="dxa"/>
            <w:vMerge w:val="continue"/>
            <w:tcBorders>
              <w:bottom w:val="single" w:color="auto" w:sz="4" w:space="0"/>
              <w:right w:val="single" w:color="auto" w:sz="4" w:space="0"/>
            </w:tcBorders>
            <w:noWrap w:val="0"/>
            <w:vAlign w:val="center"/>
          </w:tcPr>
          <w:p w14:paraId="0BADCEC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val="en-US" w:eastAsia="zh-CN"/>
              </w:rPr>
            </w:pPr>
          </w:p>
        </w:tc>
        <w:tc>
          <w:tcPr>
            <w:tcW w:w="229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00034BB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施工</w:t>
            </w:r>
          </w:p>
          <w:p w14:paraId="1A5BBF8E">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投标报价</w:t>
            </w:r>
          </w:p>
          <w:p w14:paraId="7F738E93">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caps w:val="0"/>
                <w:color w:val="auto"/>
                <w:spacing w:val="0"/>
                <w:kern w:val="0"/>
                <w:position w:val="0"/>
                <w:sz w:val="21"/>
                <w:szCs w:val="21"/>
                <w:highlight w:val="none"/>
                <w:lang w:val="en-US" w:eastAsia="zh-CN" w:bidi="ar-SA"/>
              </w:rPr>
            </w:pPr>
            <w:r>
              <w:rPr>
                <w:rFonts w:hint="eastAsia" w:ascii="宋体" w:hAnsi="宋体" w:eastAsia="宋体" w:cs="宋体"/>
                <w:caps w:val="0"/>
                <w:smallCaps w:val="0"/>
                <w:color w:val="auto"/>
                <w:spacing w:val="0"/>
                <w:kern w:val="0"/>
                <w:position w:val="0"/>
                <w:sz w:val="21"/>
                <w:szCs w:val="21"/>
                <w:highlight w:val="none"/>
              </w:rPr>
              <w:t>（</w:t>
            </w:r>
            <w:r>
              <w:rPr>
                <w:rFonts w:hint="eastAsia" w:ascii="宋体" w:hAnsi="宋体" w:eastAsia="宋体" w:cs="宋体"/>
                <w:caps w:val="0"/>
                <w:smallCaps w:val="0"/>
                <w:color w:val="auto"/>
                <w:spacing w:val="0"/>
                <w:kern w:val="0"/>
                <w:position w:val="0"/>
                <w:sz w:val="21"/>
                <w:szCs w:val="21"/>
                <w:highlight w:val="none"/>
                <w:lang w:val="en-US" w:eastAsia="zh-CN"/>
              </w:rPr>
              <w:t>40</w:t>
            </w:r>
            <w:r>
              <w:rPr>
                <w:rFonts w:hint="eastAsia" w:ascii="宋体" w:hAnsi="宋体" w:eastAsia="宋体" w:cs="宋体"/>
                <w:caps w:val="0"/>
                <w:smallCaps w:val="0"/>
                <w:color w:val="auto"/>
                <w:spacing w:val="0"/>
                <w:kern w:val="0"/>
                <w:position w:val="0"/>
                <w:sz w:val="21"/>
                <w:szCs w:val="21"/>
                <w:highlight w:val="none"/>
              </w:rPr>
              <w:t>分）</w:t>
            </w:r>
          </w:p>
        </w:tc>
        <w:tc>
          <w:tcPr>
            <w:tcW w:w="601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988832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评标价得分计算公式示例：</w:t>
            </w:r>
          </w:p>
          <w:p w14:paraId="641C71DF">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（1）如果投标人的评标价＞评标基准价，则评标价得分=F-（投标人评标价-评标基准价）/评标基准价×100×E1；</w:t>
            </w:r>
          </w:p>
          <w:p w14:paraId="5D3FFDA2">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smallCaps w:val="0"/>
                <w:color w:val="auto"/>
                <w:spacing w:val="0"/>
                <w:kern w:val="0"/>
                <w:position w:val="0"/>
                <w:sz w:val="21"/>
                <w:szCs w:val="21"/>
                <w:highlight w:val="none"/>
              </w:rPr>
            </w:pPr>
            <w:r>
              <w:rPr>
                <w:rFonts w:hint="eastAsia" w:ascii="宋体" w:hAnsi="宋体" w:eastAsia="宋体" w:cs="宋体"/>
                <w:caps w:val="0"/>
                <w:smallCaps w:val="0"/>
                <w:color w:val="auto"/>
                <w:spacing w:val="0"/>
                <w:kern w:val="0"/>
                <w:position w:val="0"/>
                <w:sz w:val="21"/>
                <w:szCs w:val="21"/>
                <w:highlight w:val="none"/>
              </w:rPr>
              <w:t>（2）如果投标人的评标价≤评标基准价，则评标价得分=F+(投标人评标价-评标基准价)/评标基准价×100×E2。</w:t>
            </w:r>
          </w:p>
          <w:p w14:paraId="50363079">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宋体" w:hAnsi="宋体" w:eastAsia="宋体" w:cs="宋体"/>
                <w:caps w:val="0"/>
                <w:color w:val="auto"/>
                <w:spacing w:val="0"/>
                <w:kern w:val="0"/>
                <w:position w:val="0"/>
                <w:sz w:val="21"/>
                <w:szCs w:val="21"/>
                <w:highlight w:val="none"/>
                <w:lang w:val="en-US" w:eastAsia="zh-CN" w:bidi="ar-SA"/>
              </w:rPr>
            </w:pPr>
            <w:r>
              <w:rPr>
                <w:rFonts w:hint="eastAsia" w:ascii="宋体" w:hAnsi="宋体" w:eastAsia="宋体" w:cs="宋体"/>
                <w:caps w:val="0"/>
                <w:smallCaps w:val="0"/>
                <w:color w:val="auto"/>
                <w:spacing w:val="0"/>
                <w:kern w:val="0"/>
                <w:position w:val="0"/>
                <w:sz w:val="21"/>
                <w:szCs w:val="21"/>
                <w:highlight w:val="none"/>
              </w:rPr>
              <w:t>其中，F=</w:t>
            </w:r>
            <w:r>
              <w:rPr>
                <w:rFonts w:hint="eastAsia" w:ascii="宋体" w:hAnsi="宋体" w:eastAsia="宋体" w:cs="宋体"/>
                <w:caps w:val="0"/>
                <w:smallCaps w:val="0"/>
                <w:color w:val="auto"/>
                <w:spacing w:val="0"/>
                <w:kern w:val="0"/>
                <w:position w:val="0"/>
                <w:sz w:val="21"/>
                <w:szCs w:val="21"/>
                <w:highlight w:val="none"/>
                <w:lang w:val="en-US" w:eastAsia="zh-CN"/>
              </w:rPr>
              <w:t>40</w:t>
            </w:r>
            <w:r>
              <w:rPr>
                <w:rFonts w:hint="eastAsia" w:ascii="宋体" w:hAnsi="宋体" w:eastAsia="宋体" w:cs="宋体"/>
                <w:caps w:val="0"/>
                <w:smallCaps w:val="0"/>
                <w:color w:val="auto"/>
                <w:spacing w:val="0"/>
                <w:kern w:val="0"/>
                <w:position w:val="0"/>
                <w:sz w:val="21"/>
                <w:szCs w:val="21"/>
                <w:highlight w:val="none"/>
              </w:rPr>
              <w:t>；E1=0.</w:t>
            </w:r>
            <w:r>
              <w:rPr>
                <w:rFonts w:hint="eastAsia" w:ascii="宋体" w:hAnsi="宋体" w:eastAsia="宋体" w:cs="宋体"/>
                <w:caps w:val="0"/>
                <w:smallCaps w:val="0"/>
                <w:color w:val="auto"/>
                <w:spacing w:val="0"/>
                <w:kern w:val="0"/>
                <w:position w:val="0"/>
                <w:sz w:val="21"/>
                <w:szCs w:val="21"/>
                <w:highlight w:val="none"/>
                <w:lang w:val="en-US" w:eastAsia="zh-CN"/>
              </w:rPr>
              <w:t>3</w:t>
            </w:r>
            <w:r>
              <w:rPr>
                <w:rFonts w:hint="eastAsia" w:ascii="宋体" w:hAnsi="宋体" w:eastAsia="宋体" w:cs="宋体"/>
                <w:caps w:val="0"/>
                <w:smallCaps w:val="0"/>
                <w:color w:val="auto"/>
                <w:spacing w:val="0"/>
                <w:kern w:val="0"/>
                <w:position w:val="0"/>
                <w:sz w:val="21"/>
                <w:szCs w:val="21"/>
                <w:highlight w:val="none"/>
              </w:rPr>
              <w:t>；E2=0.</w:t>
            </w:r>
            <w:r>
              <w:rPr>
                <w:rFonts w:hint="eastAsia" w:ascii="宋体" w:hAnsi="宋体" w:eastAsia="宋体" w:cs="宋体"/>
                <w:caps w:val="0"/>
                <w:smallCaps w:val="0"/>
                <w:color w:val="auto"/>
                <w:spacing w:val="0"/>
                <w:kern w:val="0"/>
                <w:position w:val="0"/>
                <w:sz w:val="21"/>
                <w:szCs w:val="21"/>
                <w:highlight w:val="none"/>
                <w:lang w:val="en-US" w:eastAsia="zh-CN"/>
              </w:rPr>
              <w:t>2</w:t>
            </w:r>
            <w:r>
              <w:rPr>
                <w:rFonts w:hint="eastAsia" w:ascii="宋体" w:hAnsi="宋体" w:eastAsia="宋体" w:cs="宋体"/>
                <w:caps w:val="0"/>
                <w:smallCaps w:val="0"/>
                <w:color w:val="auto"/>
                <w:spacing w:val="0"/>
                <w:kern w:val="0"/>
                <w:position w:val="0"/>
                <w:sz w:val="21"/>
                <w:szCs w:val="21"/>
                <w:highlight w:val="none"/>
              </w:rPr>
              <w:t>；评标价最低得分为0分。得分保留2位小数</w:t>
            </w:r>
          </w:p>
        </w:tc>
      </w:tr>
      <w:tr w14:paraId="05C9CC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56" w:type="dxa"/>
            <w:vMerge w:val="restart"/>
            <w:tcBorders>
              <w:top w:val="single" w:color="auto" w:sz="4" w:space="0"/>
              <w:right w:val="single" w:color="auto" w:sz="4" w:space="0"/>
            </w:tcBorders>
            <w:noWrap w:val="0"/>
            <w:vAlign w:val="center"/>
          </w:tcPr>
          <w:p w14:paraId="3E1FE3F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2.2.</w:t>
            </w:r>
            <w:r>
              <w:rPr>
                <w:rFonts w:hint="eastAsia" w:ascii="宋体" w:hAnsi="宋体" w:eastAsia="宋体" w:cs="宋体"/>
                <w:caps w:val="0"/>
                <w:color w:val="auto"/>
                <w:spacing w:val="0"/>
                <w:position w:val="0"/>
                <w:sz w:val="21"/>
                <w:szCs w:val="21"/>
                <w:highlight w:val="none"/>
                <w:lang w:val="en-US" w:eastAsia="zh-CN"/>
              </w:rPr>
              <w:t>3</w:t>
            </w:r>
          </w:p>
        </w:tc>
        <w:tc>
          <w:tcPr>
            <w:tcW w:w="1124" w:type="dxa"/>
            <w:vMerge w:val="restart"/>
            <w:tcBorders>
              <w:top w:val="single" w:color="auto" w:sz="4" w:space="0"/>
              <w:right w:val="single" w:color="auto" w:sz="4" w:space="0"/>
            </w:tcBorders>
            <w:noWrap w:val="0"/>
            <w:vAlign w:val="center"/>
          </w:tcPr>
          <w:p w14:paraId="1AA4440F">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承包人</w:t>
            </w:r>
          </w:p>
          <w:p w14:paraId="3E4659A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实施方案评分</w:t>
            </w:r>
          </w:p>
          <w:p w14:paraId="731A7E3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（暗标）</w:t>
            </w:r>
          </w:p>
        </w:tc>
        <w:tc>
          <w:tcPr>
            <w:tcW w:w="1213" w:type="dxa"/>
            <w:vMerge w:val="restart"/>
            <w:tcBorders>
              <w:top w:val="single" w:color="auto" w:sz="4" w:space="0"/>
              <w:left w:val="single" w:color="auto" w:sz="4" w:space="0"/>
              <w:right w:val="single" w:color="auto" w:sz="4" w:space="0"/>
            </w:tcBorders>
            <w:noWrap w:val="0"/>
            <w:vAlign w:val="center"/>
          </w:tcPr>
          <w:p w14:paraId="507194D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承包人</w:t>
            </w:r>
          </w:p>
          <w:p w14:paraId="1C54378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设计方案评分</w:t>
            </w:r>
          </w:p>
          <w:p w14:paraId="7DFA5F1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b/>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（10分）</w:t>
            </w:r>
          </w:p>
        </w:tc>
        <w:tc>
          <w:tcPr>
            <w:tcW w:w="3847" w:type="dxa"/>
            <w:gridSpan w:val="3"/>
            <w:vMerge w:val="restart"/>
            <w:tcBorders>
              <w:top w:val="single" w:color="auto" w:sz="4" w:space="0"/>
              <w:left w:val="single" w:color="auto" w:sz="4" w:space="0"/>
              <w:right w:val="single" w:color="auto" w:sz="4" w:space="0"/>
            </w:tcBorders>
            <w:noWrap w:val="0"/>
            <w:vAlign w:val="center"/>
          </w:tcPr>
          <w:p w14:paraId="2C4A5352">
            <w:pPr>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项目工程技术方案:提供的工程技术方案完整、准确、优化整体布局、能有效降低运行费用，图纸完善、满足招标人对主要建筑物(或构筑物)的功能要求充分体现招标人意图，并且满足造价控制等(4分)</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C1C7C9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科学合理</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0CFA622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4.0分</w:t>
            </w:r>
          </w:p>
        </w:tc>
      </w:tr>
      <w:tr w14:paraId="41EE2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56" w:type="dxa"/>
            <w:vMerge w:val="continue"/>
            <w:tcBorders>
              <w:right w:val="single" w:color="auto" w:sz="4" w:space="0"/>
            </w:tcBorders>
            <w:noWrap w:val="0"/>
            <w:vAlign w:val="center"/>
          </w:tcPr>
          <w:p w14:paraId="42D5112F">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31A8521B">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35AC779F">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continue"/>
            <w:tcBorders>
              <w:left w:val="single" w:color="auto" w:sz="4" w:space="0"/>
              <w:right w:val="single" w:color="auto" w:sz="4" w:space="0"/>
            </w:tcBorders>
            <w:noWrap w:val="0"/>
            <w:vAlign w:val="center"/>
          </w:tcPr>
          <w:p w14:paraId="68314E3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23DDB052">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较科学合理</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089AA1E2">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3.</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w:t>
            </w:r>
          </w:p>
        </w:tc>
      </w:tr>
      <w:tr w14:paraId="1EF578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2" w:hRule="exact"/>
          <w:jc w:val="center"/>
        </w:trPr>
        <w:tc>
          <w:tcPr>
            <w:tcW w:w="956" w:type="dxa"/>
            <w:vMerge w:val="continue"/>
            <w:tcBorders>
              <w:right w:val="single" w:color="auto" w:sz="4" w:space="0"/>
            </w:tcBorders>
            <w:noWrap w:val="0"/>
            <w:vAlign w:val="center"/>
          </w:tcPr>
          <w:p w14:paraId="48E09A21">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037ECA4D">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bottom w:val="single" w:color="auto" w:sz="4" w:space="0"/>
              <w:right w:val="single" w:color="auto" w:sz="4" w:space="0"/>
            </w:tcBorders>
            <w:noWrap w:val="0"/>
            <w:vAlign w:val="center"/>
          </w:tcPr>
          <w:p w14:paraId="1BB42F93">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continue"/>
            <w:tcBorders>
              <w:left w:val="single" w:color="auto" w:sz="4" w:space="0"/>
              <w:bottom w:val="single" w:color="auto" w:sz="4" w:space="0"/>
              <w:right w:val="single" w:color="auto" w:sz="4" w:space="0"/>
            </w:tcBorders>
            <w:noWrap w:val="0"/>
            <w:vAlign w:val="center"/>
          </w:tcPr>
          <w:p w14:paraId="58A819F7">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E388F2E">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一般</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6ABB57F">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rPr>
              <w:t>分</w:t>
            </w:r>
          </w:p>
        </w:tc>
      </w:tr>
      <w:tr w14:paraId="03F11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exact"/>
          <w:jc w:val="center"/>
        </w:trPr>
        <w:tc>
          <w:tcPr>
            <w:tcW w:w="956" w:type="dxa"/>
            <w:vMerge w:val="continue"/>
            <w:tcBorders>
              <w:right w:val="single" w:color="auto" w:sz="4" w:space="0"/>
            </w:tcBorders>
            <w:noWrap w:val="0"/>
            <w:vAlign w:val="center"/>
          </w:tcPr>
          <w:p w14:paraId="78244509">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4D267F0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14:paraId="0024935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restart"/>
            <w:tcBorders>
              <w:top w:val="single" w:color="auto" w:sz="4" w:space="0"/>
              <w:left w:val="single" w:color="auto" w:sz="4" w:space="0"/>
              <w:right w:val="single" w:color="auto" w:sz="4" w:space="0"/>
            </w:tcBorders>
            <w:noWrap w:val="0"/>
            <w:vAlign w:val="center"/>
          </w:tcPr>
          <w:p w14:paraId="18B4F30A">
            <w:pPr>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设计方案重点及难点分析:对工程重点难点分析透彻，对关键技术问题分析论证充分，对策措施针对性强，科学合理</w:t>
            </w:r>
          </w:p>
          <w:p w14:paraId="1DE1F6AA">
            <w:pPr>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(4分)</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76440C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科学合理</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356D2B7">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3.</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4.0分</w:t>
            </w:r>
          </w:p>
        </w:tc>
      </w:tr>
      <w:tr w14:paraId="68FDF0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56" w:type="dxa"/>
            <w:vMerge w:val="continue"/>
            <w:tcBorders>
              <w:right w:val="single" w:color="auto" w:sz="4" w:space="0"/>
            </w:tcBorders>
            <w:noWrap w:val="0"/>
            <w:vAlign w:val="center"/>
          </w:tcPr>
          <w:p w14:paraId="18BC75F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627CD91C">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14:paraId="5BC6C7B0">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continue"/>
            <w:tcBorders>
              <w:left w:val="single" w:color="auto" w:sz="4" w:space="0"/>
              <w:right w:val="single" w:color="auto" w:sz="4" w:space="0"/>
            </w:tcBorders>
            <w:noWrap w:val="0"/>
            <w:vAlign w:val="center"/>
          </w:tcPr>
          <w:p w14:paraId="4FCDD4AD">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4D74F48C">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较科学合理</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8F585DD">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3.</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w:t>
            </w:r>
          </w:p>
        </w:tc>
      </w:tr>
      <w:tr w14:paraId="505B87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7" w:hRule="exact"/>
          <w:jc w:val="center"/>
        </w:trPr>
        <w:tc>
          <w:tcPr>
            <w:tcW w:w="956" w:type="dxa"/>
            <w:vMerge w:val="continue"/>
            <w:tcBorders>
              <w:right w:val="single" w:color="auto" w:sz="4" w:space="0"/>
            </w:tcBorders>
            <w:noWrap w:val="0"/>
            <w:vAlign w:val="center"/>
          </w:tcPr>
          <w:p w14:paraId="6FCCDE35">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0604CA8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bottom w:val="single" w:color="auto" w:sz="4" w:space="0"/>
              <w:right w:val="single" w:color="auto" w:sz="4" w:space="0"/>
            </w:tcBorders>
            <w:noWrap w:val="0"/>
            <w:vAlign w:val="center"/>
          </w:tcPr>
          <w:p w14:paraId="4BAEE1AB">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continue"/>
            <w:tcBorders>
              <w:left w:val="single" w:color="auto" w:sz="4" w:space="0"/>
              <w:bottom w:val="single" w:color="auto" w:sz="4" w:space="0"/>
              <w:right w:val="single" w:color="auto" w:sz="4" w:space="0"/>
            </w:tcBorders>
            <w:noWrap w:val="0"/>
            <w:vAlign w:val="center"/>
          </w:tcPr>
          <w:p w14:paraId="1A9B83CB">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F85FFC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一般</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022201F1">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rPr>
              <w:t>分</w:t>
            </w:r>
          </w:p>
        </w:tc>
      </w:tr>
      <w:tr w14:paraId="67AFCF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56" w:type="dxa"/>
            <w:vMerge w:val="continue"/>
            <w:tcBorders>
              <w:right w:val="single" w:color="auto" w:sz="4" w:space="0"/>
            </w:tcBorders>
            <w:noWrap w:val="0"/>
            <w:vAlign w:val="center"/>
          </w:tcPr>
          <w:p w14:paraId="7D36974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2C1D49B9">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14:paraId="5CF56FE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restart"/>
            <w:tcBorders>
              <w:top w:val="single" w:color="auto" w:sz="4" w:space="0"/>
              <w:left w:val="single" w:color="auto" w:sz="4" w:space="0"/>
              <w:right w:val="single" w:color="auto" w:sz="4" w:space="0"/>
            </w:tcBorders>
            <w:noWrap w:val="0"/>
            <w:vAlign w:val="center"/>
          </w:tcPr>
          <w:p w14:paraId="3BF167F7">
            <w:pPr>
              <w:keepNext w:val="0"/>
              <w:keepLines w:val="0"/>
              <w:pageBreakBefore w:val="0"/>
              <w:widowControl w:val="0"/>
              <w:kinsoku/>
              <w:wordWrap/>
              <w:overflowPunct/>
              <w:topLinePunct w:val="0"/>
              <w:autoSpaceDE/>
              <w:autoSpaceDN/>
              <w:bidi w:val="0"/>
              <w:adjustRightInd/>
              <w:snapToGrid/>
              <w:spacing w:line="288" w:lineRule="auto"/>
              <w:ind w:left="0" w:right="0"/>
              <w:jc w:val="left"/>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设计方案合理化建议：对投标工程采用合理措施实现设计质量达标，进度可控和其它设计优化等方面的合理化建议到位，建议针对性强（2分）</w:t>
            </w:r>
          </w:p>
        </w:tc>
        <w:tc>
          <w:tcPr>
            <w:tcW w:w="1858" w:type="dxa"/>
            <w:tcBorders>
              <w:top w:val="single" w:color="auto" w:sz="4" w:space="0"/>
              <w:left w:val="single" w:color="auto" w:sz="4" w:space="0"/>
              <w:bottom w:val="single" w:color="auto" w:sz="4" w:space="0"/>
              <w:right w:val="single" w:color="auto" w:sz="4" w:space="0"/>
            </w:tcBorders>
            <w:noWrap w:val="0"/>
            <w:vAlign w:val="center"/>
          </w:tcPr>
          <w:p w14:paraId="5E5F8743">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科学合理</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55C6FC07">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2.0分</w:t>
            </w:r>
          </w:p>
        </w:tc>
      </w:tr>
      <w:tr w14:paraId="0E7AC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956" w:type="dxa"/>
            <w:vMerge w:val="continue"/>
            <w:tcBorders>
              <w:right w:val="single" w:color="auto" w:sz="4" w:space="0"/>
            </w:tcBorders>
            <w:noWrap w:val="0"/>
            <w:vAlign w:val="center"/>
          </w:tcPr>
          <w:p w14:paraId="51445B8C">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187F284B">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top w:val="single" w:color="auto" w:sz="4" w:space="0"/>
              <w:left w:val="single" w:color="auto" w:sz="4" w:space="0"/>
              <w:bottom w:val="single" w:color="auto" w:sz="4" w:space="0"/>
              <w:right w:val="single" w:color="auto" w:sz="4" w:space="0"/>
            </w:tcBorders>
            <w:noWrap w:val="0"/>
            <w:vAlign w:val="center"/>
          </w:tcPr>
          <w:p w14:paraId="4FADBC50">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continue"/>
            <w:tcBorders>
              <w:left w:val="single" w:color="auto" w:sz="4" w:space="0"/>
              <w:right w:val="single" w:color="auto" w:sz="4" w:space="0"/>
            </w:tcBorders>
            <w:noWrap w:val="0"/>
            <w:vAlign w:val="center"/>
          </w:tcPr>
          <w:p w14:paraId="3257448D">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348575B4">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较科学合理</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7928231B">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1.</w:t>
            </w:r>
            <w:r>
              <w:rPr>
                <w:rFonts w:hint="eastAsia" w:ascii="宋体" w:hAnsi="宋体" w:eastAsia="宋体" w:cs="宋体"/>
                <w:caps w:val="0"/>
                <w:color w:val="auto"/>
                <w:spacing w:val="0"/>
                <w:position w:val="0"/>
                <w:sz w:val="21"/>
                <w:szCs w:val="21"/>
                <w:highlight w:val="none"/>
                <w:lang w:val="en-US" w:eastAsia="zh-CN"/>
              </w:rPr>
              <w:t>6</w:t>
            </w:r>
            <w:r>
              <w:rPr>
                <w:rFonts w:hint="eastAsia" w:ascii="宋体" w:hAnsi="宋体" w:eastAsia="宋体" w:cs="宋体"/>
                <w:caps w:val="0"/>
                <w:color w:val="auto"/>
                <w:spacing w:val="0"/>
                <w:position w:val="0"/>
                <w:sz w:val="21"/>
                <w:szCs w:val="21"/>
                <w:highlight w:val="none"/>
              </w:rPr>
              <w:t>分</w:t>
            </w:r>
          </w:p>
        </w:tc>
      </w:tr>
      <w:tr w14:paraId="43E2D2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956" w:type="dxa"/>
            <w:vMerge w:val="continue"/>
            <w:tcBorders>
              <w:right w:val="single" w:color="auto" w:sz="4" w:space="0"/>
            </w:tcBorders>
            <w:noWrap w:val="0"/>
            <w:vAlign w:val="center"/>
          </w:tcPr>
          <w:p w14:paraId="4A166011">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center"/>
          </w:tcPr>
          <w:p w14:paraId="7E3BB9A5">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bottom w:val="single" w:color="auto" w:sz="4" w:space="0"/>
              <w:right w:val="single" w:color="auto" w:sz="4" w:space="0"/>
            </w:tcBorders>
            <w:noWrap w:val="0"/>
            <w:vAlign w:val="center"/>
          </w:tcPr>
          <w:p w14:paraId="3CE370F7">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3847" w:type="dxa"/>
            <w:gridSpan w:val="3"/>
            <w:vMerge w:val="continue"/>
            <w:tcBorders>
              <w:left w:val="single" w:color="auto" w:sz="4" w:space="0"/>
              <w:bottom w:val="single" w:color="auto" w:sz="4" w:space="0"/>
              <w:right w:val="single" w:color="auto" w:sz="4" w:space="0"/>
            </w:tcBorders>
            <w:noWrap w:val="0"/>
            <w:vAlign w:val="center"/>
          </w:tcPr>
          <w:p w14:paraId="1C6F946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858" w:type="dxa"/>
            <w:tcBorders>
              <w:top w:val="single" w:color="auto" w:sz="4" w:space="0"/>
              <w:left w:val="single" w:color="auto" w:sz="4" w:space="0"/>
              <w:bottom w:val="single" w:color="auto" w:sz="4" w:space="0"/>
              <w:right w:val="single" w:color="auto" w:sz="4" w:space="0"/>
            </w:tcBorders>
            <w:noWrap w:val="0"/>
            <w:vAlign w:val="center"/>
          </w:tcPr>
          <w:p w14:paraId="715DC572">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一般</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7BA84A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1.</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w:t>
            </w:r>
          </w:p>
        </w:tc>
      </w:tr>
      <w:tr w14:paraId="3D806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956" w:type="dxa"/>
            <w:vMerge w:val="continue"/>
            <w:tcBorders>
              <w:right w:val="single" w:color="auto" w:sz="4" w:space="0"/>
            </w:tcBorders>
            <w:noWrap w:val="0"/>
            <w:vAlign w:val="top"/>
          </w:tcPr>
          <w:p w14:paraId="2872319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0FA91A6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restart"/>
            <w:tcBorders>
              <w:top w:val="single" w:color="auto" w:sz="4" w:space="0"/>
              <w:left w:val="single" w:color="auto" w:sz="4" w:space="0"/>
              <w:right w:val="single" w:color="auto" w:sz="4" w:space="0"/>
            </w:tcBorders>
            <w:noWrap w:val="0"/>
            <w:vAlign w:val="center"/>
          </w:tcPr>
          <w:p w14:paraId="57F68526">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承包人</w:t>
            </w:r>
          </w:p>
          <w:p w14:paraId="7FD7815F">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施工方案评分（2</w:t>
            </w:r>
            <w:r>
              <w:rPr>
                <w:rFonts w:hint="eastAsia" w:ascii="宋体" w:hAnsi="宋体" w:eastAsia="宋体" w:cs="宋体"/>
                <w:caps w:val="0"/>
                <w:color w:val="auto"/>
                <w:spacing w:val="0"/>
                <w:position w:val="0"/>
                <w:sz w:val="21"/>
                <w:szCs w:val="21"/>
                <w:highlight w:val="none"/>
                <w:lang w:val="en-US" w:eastAsia="zh-CN"/>
              </w:rPr>
              <w:t>2</w:t>
            </w:r>
            <w:r>
              <w:rPr>
                <w:rFonts w:hint="eastAsia" w:ascii="宋体" w:hAnsi="宋体" w:eastAsia="宋体" w:cs="宋体"/>
                <w:caps w:val="0"/>
                <w:color w:val="auto"/>
                <w:spacing w:val="0"/>
                <w:position w:val="0"/>
                <w:sz w:val="21"/>
                <w:szCs w:val="21"/>
                <w:highlight w:val="none"/>
              </w:rPr>
              <w:t>分）</w:t>
            </w:r>
          </w:p>
          <w:p w14:paraId="40218988">
            <w:pPr>
              <w:pStyle w:val="4"/>
              <w:keepNext w:val="0"/>
              <w:keepLines w:val="0"/>
              <w:pageBreakBefore w:val="0"/>
              <w:widowControl w:val="0"/>
              <w:kinsoku/>
              <w:wordWrap/>
              <w:overflowPunct/>
              <w:topLinePunct w:val="0"/>
              <w:autoSpaceDE/>
              <w:autoSpaceDN/>
              <w:bidi w:val="0"/>
              <w:adjustRightInd/>
              <w:snapToGrid/>
              <w:spacing w:after="0" w:line="288" w:lineRule="auto"/>
              <w:textAlignment w:val="auto"/>
              <w:rPr>
                <w:rFonts w:hint="eastAsia" w:ascii="宋体" w:hAnsi="宋体" w:eastAsia="宋体" w:cs="宋体"/>
                <w:sz w:val="21"/>
                <w:szCs w:val="21"/>
                <w:highlight w:val="none"/>
              </w:rPr>
            </w:pPr>
          </w:p>
        </w:tc>
        <w:tc>
          <w:tcPr>
            <w:tcW w:w="1086" w:type="dxa"/>
            <w:gridSpan w:val="2"/>
            <w:vMerge w:val="restart"/>
            <w:tcBorders>
              <w:top w:val="single" w:color="auto" w:sz="4" w:space="0"/>
              <w:left w:val="single" w:color="auto" w:sz="4" w:space="0"/>
              <w:right w:val="single" w:color="auto" w:sz="4" w:space="0"/>
            </w:tcBorders>
            <w:noWrap w:val="0"/>
            <w:vAlign w:val="center"/>
          </w:tcPr>
          <w:p w14:paraId="7203B22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项目总体管理</w:t>
            </w:r>
          </w:p>
          <w:p w14:paraId="458679E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rPr>
              <w:t>分）</w:t>
            </w: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6C7AABE4">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工作范围、服务范围、界面完全响应，拟执行项目团队</w:t>
            </w:r>
            <w:r>
              <w:rPr>
                <w:rFonts w:hint="eastAsia" w:ascii="宋体" w:hAnsi="宋体" w:eastAsia="宋体" w:cs="宋体"/>
                <w:caps w:val="0"/>
                <w:color w:val="auto"/>
                <w:spacing w:val="0"/>
                <w:position w:val="0"/>
                <w:sz w:val="21"/>
                <w:szCs w:val="21"/>
                <w:highlight w:val="none"/>
              </w:rPr>
              <w:t>组织机构及人员配置优秀。</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6508538F">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w:t>
            </w:r>
            <w:r>
              <w:rPr>
                <w:rFonts w:hint="eastAsia" w:ascii="宋体" w:hAnsi="宋体" w:eastAsia="宋体" w:cs="宋体"/>
                <w:caps w:val="0"/>
                <w:color w:val="auto"/>
                <w:spacing w:val="0"/>
                <w:position w:val="0"/>
                <w:sz w:val="21"/>
                <w:szCs w:val="21"/>
                <w:highlight w:val="none"/>
                <w:lang w:val="en-US" w:eastAsia="zh-CN"/>
              </w:rPr>
              <w:t>0</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5.0</w:t>
            </w:r>
            <w:r>
              <w:rPr>
                <w:rFonts w:hint="eastAsia" w:ascii="宋体" w:hAnsi="宋体" w:eastAsia="宋体" w:cs="宋体"/>
                <w:caps w:val="0"/>
                <w:color w:val="auto"/>
                <w:spacing w:val="0"/>
                <w:position w:val="0"/>
                <w:sz w:val="21"/>
                <w:szCs w:val="21"/>
                <w:highlight w:val="none"/>
                <w:lang w:val="zh-CN"/>
              </w:rPr>
              <w:t>分</w:t>
            </w:r>
          </w:p>
        </w:tc>
      </w:tr>
      <w:tr w14:paraId="05D17C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3" w:hRule="atLeast"/>
          <w:jc w:val="center"/>
        </w:trPr>
        <w:tc>
          <w:tcPr>
            <w:tcW w:w="956" w:type="dxa"/>
            <w:vMerge w:val="continue"/>
            <w:tcBorders>
              <w:right w:val="single" w:color="auto" w:sz="4" w:space="0"/>
            </w:tcBorders>
            <w:noWrap w:val="0"/>
            <w:vAlign w:val="top"/>
          </w:tcPr>
          <w:p w14:paraId="3DAAFDD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754930D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39EA45C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687E7C7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339E0764">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工作范围、服务范围、界面</w:t>
            </w:r>
            <w:r>
              <w:rPr>
                <w:rFonts w:hint="eastAsia" w:ascii="宋体" w:hAnsi="宋体" w:eastAsia="宋体" w:cs="宋体"/>
                <w:caps w:val="0"/>
                <w:color w:val="auto"/>
                <w:spacing w:val="0"/>
                <w:kern w:val="0"/>
                <w:position w:val="0"/>
                <w:sz w:val="21"/>
                <w:szCs w:val="21"/>
                <w:highlight w:val="none"/>
                <w:lang w:val="en-US" w:eastAsia="zh-CN"/>
              </w:rPr>
              <w:t>较好</w:t>
            </w:r>
            <w:r>
              <w:rPr>
                <w:rFonts w:hint="eastAsia" w:ascii="宋体" w:hAnsi="宋体" w:eastAsia="宋体" w:cs="宋体"/>
                <w:caps w:val="0"/>
                <w:color w:val="auto"/>
                <w:spacing w:val="0"/>
                <w:kern w:val="0"/>
                <w:position w:val="0"/>
                <w:sz w:val="21"/>
                <w:szCs w:val="21"/>
                <w:highlight w:val="none"/>
              </w:rPr>
              <w:t>响应，拟执行项目团队</w:t>
            </w:r>
            <w:r>
              <w:rPr>
                <w:rFonts w:hint="eastAsia" w:ascii="宋体" w:hAnsi="宋体" w:eastAsia="宋体" w:cs="宋体"/>
                <w:caps w:val="0"/>
                <w:color w:val="auto"/>
                <w:spacing w:val="0"/>
                <w:position w:val="0"/>
                <w:sz w:val="21"/>
                <w:szCs w:val="21"/>
                <w:highlight w:val="none"/>
              </w:rPr>
              <w:t>组织机构及人员配置</w:t>
            </w:r>
            <w:r>
              <w:rPr>
                <w:rFonts w:hint="eastAsia" w:ascii="宋体" w:hAnsi="宋体" w:eastAsia="宋体" w:cs="宋体"/>
                <w:caps w:val="0"/>
                <w:color w:val="auto"/>
                <w:spacing w:val="0"/>
                <w:position w:val="0"/>
                <w:sz w:val="21"/>
                <w:szCs w:val="21"/>
                <w:highlight w:val="none"/>
                <w:lang w:val="en-US" w:eastAsia="zh-CN"/>
              </w:rPr>
              <w:t>较</w:t>
            </w:r>
            <w:r>
              <w:rPr>
                <w:rFonts w:hint="eastAsia" w:ascii="宋体" w:hAnsi="宋体" w:eastAsia="宋体" w:cs="宋体"/>
                <w:caps w:val="0"/>
                <w:color w:val="auto"/>
                <w:spacing w:val="0"/>
                <w:position w:val="0"/>
                <w:sz w:val="21"/>
                <w:szCs w:val="21"/>
                <w:highlight w:val="none"/>
              </w:rPr>
              <w:t>好。</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28B3F79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lang w:val="en-US" w:eastAsia="zh-CN"/>
              </w:rPr>
              <w:t>4.0</w:t>
            </w:r>
            <w:r>
              <w:rPr>
                <w:rFonts w:hint="eastAsia" w:ascii="宋体" w:hAnsi="宋体" w:eastAsia="宋体" w:cs="宋体"/>
                <w:caps w:val="0"/>
                <w:color w:val="auto"/>
                <w:spacing w:val="0"/>
                <w:position w:val="0"/>
                <w:sz w:val="21"/>
                <w:szCs w:val="21"/>
                <w:highlight w:val="none"/>
                <w:lang w:val="zh-CN"/>
              </w:rPr>
              <w:t>分</w:t>
            </w:r>
          </w:p>
        </w:tc>
      </w:tr>
      <w:tr w14:paraId="746537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8" w:hRule="atLeast"/>
          <w:jc w:val="center"/>
        </w:trPr>
        <w:tc>
          <w:tcPr>
            <w:tcW w:w="956" w:type="dxa"/>
            <w:vMerge w:val="continue"/>
            <w:tcBorders>
              <w:right w:val="single" w:color="auto" w:sz="4" w:space="0"/>
            </w:tcBorders>
            <w:noWrap w:val="0"/>
            <w:vAlign w:val="top"/>
          </w:tcPr>
          <w:p w14:paraId="43AE81B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1AEAE4A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3091FA4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bottom w:val="single" w:color="auto" w:sz="4" w:space="0"/>
              <w:right w:val="single" w:color="auto" w:sz="4" w:space="0"/>
            </w:tcBorders>
            <w:noWrap w:val="0"/>
            <w:vAlign w:val="center"/>
          </w:tcPr>
          <w:p w14:paraId="1E1821F3">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4DF4ECB0">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工作范围、服务范围、界面</w:t>
            </w:r>
            <w:r>
              <w:rPr>
                <w:rFonts w:hint="eastAsia" w:ascii="宋体" w:hAnsi="宋体" w:eastAsia="宋体" w:cs="宋体"/>
                <w:caps w:val="0"/>
                <w:color w:val="auto"/>
                <w:spacing w:val="0"/>
                <w:kern w:val="0"/>
                <w:position w:val="0"/>
                <w:sz w:val="21"/>
                <w:szCs w:val="21"/>
                <w:highlight w:val="none"/>
                <w:lang w:val="en-US" w:eastAsia="zh-CN"/>
              </w:rPr>
              <w:t>符合</w:t>
            </w:r>
            <w:r>
              <w:rPr>
                <w:rFonts w:hint="eastAsia" w:ascii="宋体" w:hAnsi="宋体" w:eastAsia="宋体" w:cs="宋体"/>
                <w:caps w:val="0"/>
                <w:color w:val="auto"/>
                <w:spacing w:val="0"/>
                <w:kern w:val="0"/>
                <w:position w:val="0"/>
                <w:sz w:val="21"/>
                <w:szCs w:val="21"/>
                <w:highlight w:val="none"/>
              </w:rPr>
              <w:t>响应，拟执行项目团队</w:t>
            </w:r>
            <w:r>
              <w:rPr>
                <w:rFonts w:hint="eastAsia" w:ascii="宋体" w:hAnsi="宋体" w:eastAsia="宋体" w:cs="宋体"/>
                <w:caps w:val="0"/>
                <w:color w:val="auto"/>
                <w:spacing w:val="0"/>
                <w:position w:val="0"/>
                <w:sz w:val="21"/>
                <w:szCs w:val="21"/>
                <w:highlight w:val="none"/>
              </w:rPr>
              <w:t>组织机构及人员配置一般。</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2F49570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lang w:val="zh-CN"/>
              </w:rPr>
              <w:t>分</w:t>
            </w:r>
          </w:p>
        </w:tc>
      </w:tr>
      <w:tr w14:paraId="2DD10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0CE3E5F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45C99F1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416AD03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restart"/>
            <w:tcBorders>
              <w:top w:val="single" w:color="auto" w:sz="4" w:space="0"/>
              <w:left w:val="single" w:color="auto" w:sz="4" w:space="0"/>
              <w:right w:val="single" w:color="auto" w:sz="4" w:space="0"/>
            </w:tcBorders>
            <w:noWrap w:val="0"/>
            <w:vAlign w:val="center"/>
          </w:tcPr>
          <w:p w14:paraId="5DD4DD6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项目实施要点</w:t>
            </w:r>
          </w:p>
          <w:p w14:paraId="4BCC4FF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（5分）</w:t>
            </w: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0A430FB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实施要点详尽，</w:t>
            </w:r>
            <w:r>
              <w:rPr>
                <w:rFonts w:hint="eastAsia" w:ascii="宋体" w:hAnsi="宋体" w:eastAsia="宋体" w:cs="宋体"/>
                <w:caps w:val="0"/>
                <w:color w:val="auto"/>
                <w:spacing w:val="0"/>
                <w:position w:val="0"/>
                <w:sz w:val="21"/>
                <w:szCs w:val="21"/>
                <w:highlight w:val="none"/>
                <w:lang w:val="en-US" w:eastAsia="zh-CN"/>
              </w:rPr>
              <w:t>合理</w:t>
            </w:r>
            <w:r>
              <w:rPr>
                <w:rFonts w:hint="eastAsia" w:ascii="宋体" w:hAnsi="宋体" w:eastAsia="宋体" w:cs="宋体"/>
                <w:caps w:val="0"/>
                <w:color w:val="auto"/>
                <w:spacing w:val="0"/>
                <w:position w:val="0"/>
                <w:sz w:val="21"/>
                <w:szCs w:val="21"/>
                <w:highlight w:val="none"/>
              </w:rPr>
              <w:t>概括项目实施相关活动。</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6F2A706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4.</w:t>
            </w:r>
            <w:r>
              <w:rPr>
                <w:rFonts w:hint="eastAsia" w:ascii="宋体" w:hAnsi="宋体" w:eastAsia="宋体" w:cs="宋体"/>
                <w:caps w:val="0"/>
                <w:color w:val="auto"/>
                <w:spacing w:val="0"/>
                <w:position w:val="0"/>
                <w:sz w:val="21"/>
                <w:szCs w:val="21"/>
                <w:highlight w:val="none"/>
                <w:lang w:val="en-US" w:eastAsia="zh-CN"/>
              </w:rPr>
              <w:t>0</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5.0</w:t>
            </w:r>
            <w:r>
              <w:rPr>
                <w:rFonts w:hint="eastAsia" w:ascii="宋体" w:hAnsi="宋体" w:eastAsia="宋体" w:cs="宋体"/>
                <w:caps w:val="0"/>
                <w:color w:val="auto"/>
                <w:spacing w:val="0"/>
                <w:position w:val="0"/>
                <w:sz w:val="21"/>
                <w:szCs w:val="21"/>
                <w:highlight w:val="none"/>
                <w:lang w:val="zh-CN"/>
              </w:rPr>
              <w:t>分</w:t>
            </w:r>
          </w:p>
        </w:tc>
      </w:tr>
      <w:tr w14:paraId="215DE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4E573D0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1B7047D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526046B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38C4958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35ABACD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实施要点较好</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满足概括项目实施相关活动。</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76E189F">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lang w:val="en-US" w:eastAsia="zh-CN"/>
              </w:rPr>
              <w:t>4.0</w:t>
            </w:r>
            <w:r>
              <w:rPr>
                <w:rFonts w:hint="eastAsia" w:ascii="宋体" w:hAnsi="宋体" w:eastAsia="宋体" w:cs="宋体"/>
                <w:caps w:val="0"/>
                <w:color w:val="auto"/>
                <w:spacing w:val="0"/>
                <w:position w:val="0"/>
                <w:sz w:val="21"/>
                <w:szCs w:val="21"/>
                <w:highlight w:val="none"/>
                <w:lang w:val="zh-CN"/>
              </w:rPr>
              <w:t>分</w:t>
            </w:r>
          </w:p>
        </w:tc>
      </w:tr>
      <w:tr w14:paraId="5D6115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667A02A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3253C7F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710D6F2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bottom w:val="single" w:color="auto" w:sz="4" w:space="0"/>
              <w:right w:val="single" w:color="auto" w:sz="4" w:space="0"/>
            </w:tcBorders>
            <w:noWrap w:val="0"/>
            <w:vAlign w:val="center"/>
          </w:tcPr>
          <w:p w14:paraId="317D05E9">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678E9F62">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管理要点</w:t>
            </w:r>
            <w:r>
              <w:rPr>
                <w:rFonts w:hint="eastAsia" w:ascii="宋体" w:hAnsi="宋体" w:eastAsia="宋体" w:cs="宋体"/>
                <w:caps w:val="0"/>
                <w:color w:val="auto"/>
                <w:spacing w:val="0"/>
                <w:position w:val="0"/>
                <w:sz w:val="21"/>
                <w:szCs w:val="21"/>
                <w:highlight w:val="none"/>
                <w:lang w:val="en-US" w:eastAsia="zh-CN"/>
              </w:rPr>
              <w:t>一般</w:t>
            </w:r>
            <w:r>
              <w:rPr>
                <w:rFonts w:hint="eastAsia" w:ascii="宋体" w:hAnsi="宋体" w:eastAsia="宋体" w:cs="宋体"/>
                <w:caps w:val="0"/>
                <w:color w:val="auto"/>
                <w:spacing w:val="0"/>
                <w:position w:val="0"/>
                <w:sz w:val="21"/>
                <w:szCs w:val="21"/>
                <w:highlight w:val="none"/>
              </w:rPr>
              <w:t>，基本概括项目实施相关活动。</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A8ECCF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3.0</w:t>
            </w:r>
            <w:r>
              <w:rPr>
                <w:rFonts w:hint="eastAsia" w:ascii="宋体" w:hAnsi="宋体" w:eastAsia="宋体" w:cs="宋体"/>
                <w:caps w:val="0"/>
                <w:color w:val="auto"/>
                <w:spacing w:val="0"/>
                <w:position w:val="0"/>
                <w:sz w:val="21"/>
                <w:szCs w:val="21"/>
                <w:highlight w:val="none"/>
                <w:lang w:val="zh-CN"/>
              </w:rPr>
              <w:t>分</w:t>
            </w:r>
          </w:p>
        </w:tc>
      </w:tr>
      <w:tr w14:paraId="564D9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45CE682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3D0169F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0E4B7DA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restart"/>
            <w:tcBorders>
              <w:top w:val="single" w:color="auto" w:sz="4" w:space="0"/>
              <w:left w:val="single" w:color="auto" w:sz="4" w:space="0"/>
              <w:right w:val="single" w:color="auto" w:sz="4" w:space="0"/>
            </w:tcBorders>
            <w:noWrap w:val="0"/>
            <w:vAlign w:val="center"/>
          </w:tcPr>
          <w:p w14:paraId="2DBB3AD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项目进度计划与措施（3分）</w:t>
            </w: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4B2EC85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工程进度逻辑性强，工序穿插基本得当，进度保证措施到位。</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06AF054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3.0</w:t>
            </w:r>
            <w:r>
              <w:rPr>
                <w:rFonts w:hint="eastAsia" w:ascii="宋体" w:hAnsi="宋体" w:eastAsia="宋体" w:cs="宋体"/>
                <w:caps w:val="0"/>
                <w:color w:val="auto"/>
                <w:spacing w:val="0"/>
                <w:position w:val="0"/>
                <w:sz w:val="21"/>
                <w:szCs w:val="21"/>
                <w:highlight w:val="none"/>
                <w:lang w:val="zh-CN"/>
              </w:rPr>
              <w:t>分</w:t>
            </w:r>
          </w:p>
        </w:tc>
      </w:tr>
      <w:tr w14:paraId="350AC8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48A498D6">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28CEE39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266CE6C6">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4168541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1620D20C">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工程进度逻辑性</w:t>
            </w:r>
            <w:r>
              <w:rPr>
                <w:rFonts w:hint="eastAsia" w:ascii="宋体" w:hAnsi="宋体" w:eastAsia="宋体" w:cs="宋体"/>
                <w:caps w:val="0"/>
                <w:color w:val="auto"/>
                <w:spacing w:val="0"/>
                <w:position w:val="0"/>
                <w:sz w:val="21"/>
                <w:szCs w:val="21"/>
                <w:highlight w:val="none"/>
                <w:lang w:val="en-US" w:eastAsia="zh-CN"/>
              </w:rPr>
              <w:t>较强</w:t>
            </w:r>
            <w:r>
              <w:rPr>
                <w:rFonts w:hint="eastAsia" w:ascii="宋体" w:hAnsi="宋体" w:eastAsia="宋体" w:cs="宋体"/>
                <w:caps w:val="0"/>
                <w:color w:val="auto"/>
                <w:spacing w:val="0"/>
                <w:position w:val="0"/>
                <w:sz w:val="21"/>
                <w:szCs w:val="21"/>
                <w:highlight w:val="none"/>
              </w:rPr>
              <w:t>，工序穿插</w:t>
            </w:r>
            <w:r>
              <w:rPr>
                <w:rFonts w:hint="eastAsia" w:ascii="宋体" w:hAnsi="宋体" w:eastAsia="宋体" w:cs="宋体"/>
                <w:caps w:val="0"/>
                <w:color w:val="auto"/>
                <w:spacing w:val="0"/>
                <w:position w:val="0"/>
                <w:sz w:val="21"/>
                <w:szCs w:val="21"/>
                <w:highlight w:val="none"/>
                <w:lang w:val="en-US" w:eastAsia="zh-CN"/>
              </w:rPr>
              <w:t>较</w:t>
            </w:r>
            <w:r>
              <w:rPr>
                <w:rFonts w:hint="eastAsia" w:ascii="宋体" w:hAnsi="宋体" w:eastAsia="宋体" w:cs="宋体"/>
                <w:caps w:val="0"/>
                <w:color w:val="auto"/>
                <w:spacing w:val="0"/>
                <w:position w:val="0"/>
                <w:sz w:val="21"/>
                <w:szCs w:val="21"/>
                <w:highlight w:val="none"/>
              </w:rPr>
              <w:t>得当，进度保证措施可行</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3D2D994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lang w:val="zh-CN"/>
              </w:rPr>
              <w:t>分</w:t>
            </w:r>
          </w:p>
        </w:tc>
      </w:tr>
      <w:tr w14:paraId="108FE5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017EA863">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2044C38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6BFB5FA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bottom w:val="single" w:color="auto" w:sz="4" w:space="0"/>
              <w:right w:val="single" w:color="auto" w:sz="4" w:space="0"/>
            </w:tcBorders>
            <w:noWrap w:val="0"/>
            <w:vAlign w:val="center"/>
          </w:tcPr>
          <w:p w14:paraId="4EBDBFE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45814816">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工程进度逻辑</w:t>
            </w:r>
            <w:r>
              <w:rPr>
                <w:rFonts w:hint="eastAsia" w:ascii="宋体" w:hAnsi="宋体" w:eastAsia="宋体" w:cs="宋体"/>
                <w:caps w:val="0"/>
                <w:color w:val="auto"/>
                <w:spacing w:val="0"/>
                <w:position w:val="0"/>
                <w:sz w:val="21"/>
                <w:szCs w:val="21"/>
                <w:highlight w:val="none"/>
                <w:lang w:val="en-US" w:eastAsia="zh-CN"/>
              </w:rPr>
              <w:t>一般</w:t>
            </w:r>
            <w:r>
              <w:rPr>
                <w:rFonts w:hint="eastAsia" w:ascii="宋体" w:hAnsi="宋体" w:eastAsia="宋体" w:cs="宋体"/>
                <w:caps w:val="0"/>
                <w:color w:val="auto"/>
                <w:spacing w:val="0"/>
                <w:position w:val="0"/>
                <w:sz w:val="21"/>
                <w:szCs w:val="21"/>
                <w:highlight w:val="none"/>
              </w:rPr>
              <w:t>，工序穿插</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rPr>
              <w:t>进度保证措施一般</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23F1D41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分</w:t>
            </w:r>
          </w:p>
        </w:tc>
      </w:tr>
      <w:tr w14:paraId="3D77A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500B981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76FCC67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5C75551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restart"/>
            <w:tcBorders>
              <w:top w:val="single" w:color="auto" w:sz="4" w:space="0"/>
              <w:left w:val="single" w:color="auto" w:sz="4" w:space="0"/>
              <w:right w:val="single" w:color="auto" w:sz="4" w:space="0"/>
            </w:tcBorders>
            <w:noWrap w:val="0"/>
            <w:vAlign w:val="center"/>
          </w:tcPr>
          <w:p w14:paraId="7CC3033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质量管理体系与措施（3分）</w:t>
            </w: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232F56C2">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结合本工程的特点，分析质量控制要点到位，质量控制与管理措施详尽合理，</w:t>
            </w:r>
            <w:r>
              <w:rPr>
                <w:rFonts w:hint="eastAsia" w:ascii="宋体" w:hAnsi="宋体" w:eastAsia="宋体" w:cs="宋体"/>
                <w:caps w:val="0"/>
                <w:color w:val="auto"/>
                <w:spacing w:val="0"/>
                <w:position w:val="0"/>
                <w:sz w:val="21"/>
                <w:szCs w:val="21"/>
                <w:highlight w:val="none"/>
                <w:lang w:val="en-US" w:eastAsia="zh-CN"/>
              </w:rPr>
              <w:t>优于</w:t>
            </w:r>
            <w:r>
              <w:rPr>
                <w:rFonts w:hint="eastAsia" w:ascii="宋体" w:hAnsi="宋体" w:eastAsia="宋体" w:cs="宋体"/>
                <w:caps w:val="0"/>
                <w:color w:val="auto"/>
                <w:spacing w:val="0"/>
                <w:position w:val="0"/>
                <w:sz w:val="21"/>
                <w:szCs w:val="21"/>
                <w:highlight w:val="none"/>
              </w:rPr>
              <w:t>工程要求</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40BAFB85">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3.0</w:t>
            </w:r>
            <w:r>
              <w:rPr>
                <w:rFonts w:hint="eastAsia" w:ascii="宋体" w:hAnsi="宋体" w:eastAsia="宋体" w:cs="宋体"/>
                <w:caps w:val="0"/>
                <w:color w:val="auto"/>
                <w:spacing w:val="0"/>
                <w:position w:val="0"/>
                <w:sz w:val="21"/>
                <w:szCs w:val="21"/>
                <w:highlight w:val="none"/>
                <w:lang w:val="zh-CN"/>
              </w:rPr>
              <w:t>分</w:t>
            </w:r>
          </w:p>
        </w:tc>
      </w:tr>
      <w:tr w14:paraId="56714B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5E265E3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204A54C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7DAC693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042C5A9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32DF2594">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质量控制要点分析有欠缺，本工程质量控制与管理措施一般，满足工程要求</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458912D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lang w:val="zh-CN"/>
              </w:rPr>
              <w:t>分</w:t>
            </w:r>
          </w:p>
        </w:tc>
      </w:tr>
      <w:tr w14:paraId="1FE49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7BA294D6">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7945EC2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3C3A927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bottom w:val="single" w:color="auto" w:sz="4" w:space="0"/>
              <w:right w:val="single" w:color="auto" w:sz="4" w:space="0"/>
            </w:tcBorders>
            <w:noWrap w:val="0"/>
            <w:vAlign w:val="center"/>
          </w:tcPr>
          <w:p w14:paraId="4AC4D14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7D0C4C1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未结合本工程的特点进行质量要点的分析，质量控制与管理措施一般</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72C05B65">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分</w:t>
            </w:r>
          </w:p>
        </w:tc>
      </w:tr>
      <w:tr w14:paraId="0F2743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956" w:type="dxa"/>
            <w:vMerge w:val="continue"/>
            <w:tcBorders>
              <w:right w:val="single" w:color="auto" w:sz="4" w:space="0"/>
            </w:tcBorders>
            <w:noWrap w:val="0"/>
            <w:vAlign w:val="top"/>
          </w:tcPr>
          <w:p w14:paraId="2A44156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26EE6C6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2AD0B26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restart"/>
            <w:tcBorders>
              <w:left w:val="single" w:color="auto" w:sz="4" w:space="0"/>
              <w:right w:val="single" w:color="auto" w:sz="4" w:space="0"/>
            </w:tcBorders>
            <w:noWrap w:val="0"/>
            <w:vAlign w:val="center"/>
          </w:tcPr>
          <w:p w14:paraId="6BD008D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安全生产管理体系与措施</w:t>
            </w:r>
          </w:p>
          <w:p w14:paraId="4C9DE51D">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分）</w:t>
            </w: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0C47B87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kern w:val="0"/>
                <w:position w:val="0"/>
                <w:sz w:val="21"/>
                <w:szCs w:val="21"/>
                <w:highlight w:val="none"/>
              </w:rPr>
              <w:t>施工安全生产保障措施科学、合理</w:t>
            </w:r>
            <w:r>
              <w:rPr>
                <w:rFonts w:hint="eastAsia" w:ascii="宋体" w:hAnsi="宋体" w:eastAsia="宋体" w:cs="宋体"/>
                <w:caps w:val="0"/>
                <w:color w:val="auto"/>
                <w:spacing w:val="0"/>
                <w:kern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47FAD1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3.0</w:t>
            </w:r>
            <w:r>
              <w:rPr>
                <w:rFonts w:hint="eastAsia" w:ascii="宋体" w:hAnsi="宋体" w:eastAsia="宋体" w:cs="宋体"/>
                <w:caps w:val="0"/>
                <w:color w:val="auto"/>
                <w:spacing w:val="0"/>
                <w:position w:val="0"/>
                <w:sz w:val="21"/>
                <w:szCs w:val="21"/>
                <w:highlight w:val="none"/>
                <w:lang w:val="zh-CN"/>
              </w:rPr>
              <w:t>分</w:t>
            </w:r>
          </w:p>
        </w:tc>
      </w:tr>
      <w:tr w14:paraId="1F5B42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19A689B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591BE11F">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0777E44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04C04F3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1624D423">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kern w:val="0"/>
                <w:position w:val="0"/>
                <w:sz w:val="21"/>
                <w:szCs w:val="21"/>
                <w:highlight w:val="none"/>
              </w:rPr>
              <w:t>施工安全生产保障措施较科学</w:t>
            </w:r>
            <w:r>
              <w:rPr>
                <w:rFonts w:hint="eastAsia" w:ascii="宋体" w:hAnsi="宋体" w:eastAsia="宋体" w:cs="宋体"/>
                <w:caps w:val="0"/>
                <w:color w:val="auto"/>
                <w:spacing w:val="0"/>
                <w:kern w:val="0"/>
                <w:position w:val="0"/>
                <w:sz w:val="21"/>
                <w:szCs w:val="21"/>
                <w:highlight w:val="none"/>
                <w:lang w:eastAsia="zh-CN"/>
              </w:rPr>
              <w:t>、</w:t>
            </w:r>
            <w:r>
              <w:rPr>
                <w:rFonts w:hint="eastAsia" w:ascii="宋体" w:hAnsi="宋体" w:eastAsia="宋体" w:cs="宋体"/>
                <w:caps w:val="0"/>
                <w:color w:val="auto"/>
                <w:spacing w:val="0"/>
                <w:kern w:val="0"/>
                <w:position w:val="0"/>
                <w:sz w:val="21"/>
                <w:szCs w:val="21"/>
                <w:highlight w:val="none"/>
              </w:rPr>
              <w:t>合理</w:t>
            </w:r>
            <w:r>
              <w:rPr>
                <w:rFonts w:hint="eastAsia" w:ascii="宋体" w:hAnsi="宋体" w:eastAsia="宋体" w:cs="宋体"/>
                <w:caps w:val="0"/>
                <w:color w:val="auto"/>
                <w:spacing w:val="0"/>
                <w:kern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A7FDD9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lang w:val="zh-CN"/>
              </w:rPr>
              <w:t>分</w:t>
            </w:r>
          </w:p>
        </w:tc>
      </w:tr>
      <w:tr w14:paraId="6EBDC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956" w:type="dxa"/>
            <w:vMerge w:val="continue"/>
            <w:tcBorders>
              <w:right w:val="single" w:color="auto" w:sz="4" w:space="0"/>
            </w:tcBorders>
            <w:noWrap w:val="0"/>
            <w:vAlign w:val="top"/>
          </w:tcPr>
          <w:p w14:paraId="4C8B8075">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37F5C538">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center"/>
          </w:tcPr>
          <w:p w14:paraId="0D53D75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bottom w:val="single" w:color="auto" w:sz="4" w:space="0"/>
              <w:right w:val="single" w:color="auto" w:sz="4" w:space="0"/>
            </w:tcBorders>
            <w:noWrap w:val="0"/>
            <w:vAlign w:val="center"/>
          </w:tcPr>
          <w:p w14:paraId="4DB47347">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bottom w:val="single" w:color="auto" w:sz="4" w:space="0"/>
              <w:right w:val="single" w:color="auto" w:sz="4" w:space="0"/>
            </w:tcBorders>
            <w:noWrap w:val="0"/>
            <w:vAlign w:val="center"/>
          </w:tcPr>
          <w:p w14:paraId="73363F41">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kern w:val="0"/>
                <w:position w:val="0"/>
                <w:sz w:val="21"/>
                <w:szCs w:val="21"/>
                <w:highlight w:val="none"/>
              </w:rPr>
              <w:t>施工安全生产保障措施一般</w:t>
            </w:r>
            <w:r>
              <w:rPr>
                <w:rFonts w:hint="eastAsia" w:ascii="宋体" w:hAnsi="宋体" w:eastAsia="宋体" w:cs="宋体"/>
                <w:caps w:val="0"/>
                <w:color w:val="auto"/>
                <w:spacing w:val="0"/>
                <w:kern w:val="0"/>
                <w:position w:val="0"/>
                <w:sz w:val="21"/>
                <w:szCs w:val="21"/>
                <w:highlight w:val="none"/>
                <w:lang w:eastAsia="zh-CN"/>
              </w:rPr>
              <w:t>。</w:t>
            </w:r>
          </w:p>
        </w:tc>
        <w:tc>
          <w:tcPr>
            <w:tcW w:w="1398" w:type="dxa"/>
            <w:tcBorders>
              <w:top w:val="single" w:color="auto" w:sz="4" w:space="0"/>
              <w:left w:val="single" w:color="auto" w:sz="4" w:space="0"/>
              <w:bottom w:val="single" w:color="auto" w:sz="4" w:space="0"/>
              <w:right w:val="single" w:color="auto" w:sz="4" w:space="0"/>
            </w:tcBorders>
            <w:noWrap w:val="0"/>
            <w:vAlign w:val="center"/>
          </w:tcPr>
          <w:p w14:paraId="12D8881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分</w:t>
            </w:r>
          </w:p>
        </w:tc>
      </w:tr>
      <w:tr w14:paraId="13815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956" w:type="dxa"/>
            <w:vMerge w:val="continue"/>
            <w:tcBorders>
              <w:right w:val="single" w:color="auto" w:sz="4" w:space="0"/>
            </w:tcBorders>
            <w:noWrap w:val="0"/>
            <w:vAlign w:val="top"/>
          </w:tcPr>
          <w:p w14:paraId="74795D9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0EED934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top"/>
          </w:tcPr>
          <w:p w14:paraId="6CD95AC4">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restart"/>
            <w:tcBorders>
              <w:left w:val="single" w:color="auto" w:sz="4" w:space="0"/>
              <w:right w:val="single" w:color="auto" w:sz="4" w:space="0"/>
            </w:tcBorders>
            <w:noWrap w:val="0"/>
            <w:vAlign w:val="center"/>
          </w:tcPr>
          <w:p w14:paraId="2905FB0C">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项目实施合理化建议（</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分）</w:t>
            </w:r>
          </w:p>
        </w:tc>
        <w:tc>
          <w:tcPr>
            <w:tcW w:w="4619" w:type="dxa"/>
            <w:gridSpan w:val="2"/>
            <w:tcBorders>
              <w:top w:val="single" w:color="auto" w:sz="4" w:space="0"/>
              <w:left w:val="single" w:color="auto" w:sz="4" w:space="0"/>
              <w:right w:val="single" w:color="auto" w:sz="4" w:space="0"/>
            </w:tcBorders>
            <w:noWrap w:val="0"/>
            <w:vAlign w:val="center"/>
          </w:tcPr>
          <w:p w14:paraId="27885C74">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项目实施建议科学合理</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right w:val="single" w:color="auto" w:sz="4" w:space="0"/>
            </w:tcBorders>
            <w:noWrap w:val="0"/>
            <w:vAlign w:val="center"/>
          </w:tcPr>
          <w:p w14:paraId="009D582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w:t>
            </w:r>
            <w:r>
              <w:rPr>
                <w:rFonts w:hint="eastAsia" w:ascii="宋体" w:hAnsi="宋体" w:eastAsia="宋体" w:cs="宋体"/>
                <w:caps w:val="0"/>
                <w:color w:val="auto"/>
                <w:spacing w:val="0"/>
                <w:position w:val="0"/>
                <w:sz w:val="21"/>
                <w:szCs w:val="21"/>
                <w:highlight w:val="none"/>
                <w:lang w:val="en-US" w:eastAsia="zh-CN"/>
              </w:rPr>
              <w:t>4</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rPr>
              <w:t>3.0</w:t>
            </w:r>
            <w:r>
              <w:rPr>
                <w:rFonts w:hint="eastAsia" w:ascii="宋体" w:hAnsi="宋体" w:eastAsia="宋体" w:cs="宋体"/>
                <w:caps w:val="0"/>
                <w:color w:val="auto"/>
                <w:spacing w:val="0"/>
                <w:position w:val="0"/>
                <w:sz w:val="21"/>
                <w:szCs w:val="21"/>
                <w:highlight w:val="none"/>
                <w:lang w:val="zh-CN"/>
              </w:rPr>
              <w:t>分</w:t>
            </w:r>
          </w:p>
        </w:tc>
      </w:tr>
      <w:tr w14:paraId="3DC274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56" w:type="dxa"/>
            <w:vMerge w:val="continue"/>
            <w:tcBorders>
              <w:right w:val="single" w:color="auto" w:sz="4" w:space="0"/>
            </w:tcBorders>
            <w:noWrap w:val="0"/>
            <w:vAlign w:val="top"/>
          </w:tcPr>
          <w:p w14:paraId="0F59FF93">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08683E1F">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top"/>
          </w:tcPr>
          <w:p w14:paraId="475C5759">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3C3ACCA0">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right w:val="single" w:color="auto" w:sz="4" w:space="0"/>
            </w:tcBorders>
            <w:noWrap w:val="0"/>
            <w:vAlign w:val="center"/>
          </w:tcPr>
          <w:p w14:paraId="0ADFF35D">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项目实施建议较科学合理</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right w:val="single" w:color="auto" w:sz="4" w:space="0"/>
            </w:tcBorders>
            <w:noWrap w:val="0"/>
            <w:vAlign w:val="center"/>
          </w:tcPr>
          <w:p w14:paraId="588C239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w:t>
            </w:r>
            <w:r>
              <w:rPr>
                <w:rFonts w:hint="eastAsia" w:ascii="宋体" w:hAnsi="宋体" w:eastAsia="宋体" w:cs="宋体"/>
                <w:caps w:val="0"/>
                <w:color w:val="auto"/>
                <w:spacing w:val="0"/>
                <w:position w:val="0"/>
                <w:sz w:val="21"/>
                <w:szCs w:val="21"/>
                <w:highlight w:val="none"/>
                <w:lang w:val="en-US" w:eastAsia="zh-CN"/>
              </w:rPr>
              <w:t>2.4</w:t>
            </w:r>
            <w:r>
              <w:rPr>
                <w:rFonts w:hint="eastAsia" w:ascii="宋体" w:hAnsi="宋体" w:eastAsia="宋体" w:cs="宋体"/>
                <w:caps w:val="0"/>
                <w:color w:val="auto"/>
                <w:spacing w:val="0"/>
                <w:position w:val="0"/>
                <w:sz w:val="21"/>
                <w:szCs w:val="21"/>
                <w:highlight w:val="none"/>
                <w:lang w:val="zh-CN"/>
              </w:rPr>
              <w:t>分</w:t>
            </w:r>
          </w:p>
        </w:tc>
      </w:tr>
      <w:tr w14:paraId="75947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956" w:type="dxa"/>
            <w:vMerge w:val="continue"/>
            <w:tcBorders>
              <w:right w:val="single" w:color="auto" w:sz="4" w:space="0"/>
            </w:tcBorders>
            <w:noWrap w:val="0"/>
            <w:vAlign w:val="top"/>
          </w:tcPr>
          <w:p w14:paraId="7C92D432">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124" w:type="dxa"/>
            <w:vMerge w:val="continue"/>
            <w:tcBorders>
              <w:right w:val="single" w:color="auto" w:sz="4" w:space="0"/>
            </w:tcBorders>
            <w:noWrap w:val="0"/>
            <w:vAlign w:val="top"/>
          </w:tcPr>
          <w:p w14:paraId="62368E1D">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213" w:type="dxa"/>
            <w:vMerge w:val="continue"/>
            <w:tcBorders>
              <w:left w:val="single" w:color="auto" w:sz="4" w:space="0"/>
              <w:right w:val="single" w:color="auto" w:sz="4" w:space="0"/>
            </w:tcBorders>
            <w:noWrap w:val="0"/>
            <w:vAlign w:val="top"/>
          </w:tcPr>
          <w:p w14:paraId="4A5BF198">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1086" w:type="dxa"/>
            <w:gridSpan w:val="2"/>
            <w:vMerge w:val="continue"/>
            <w:tcBorders>
              <w:left w:val="single" w:color="auto" w:sz="4" w:space="0"/>
              <w:right w:val="single" w:color="auto" w:sz="4" w:space="0"/>
            </w:tcBorders>
            <w:noWrap w:val="0"/>
            <w:vAlign w:val="center"/>
          </w:tcPr>
          <w:p w14:paraId="4198A6E5">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p>
        </w:tc>
        <w:tc>
          <w:tcPr>
            <w:tcW w:w="4619" w:type="dxa"/>
            <w:gridSpan w:val="2"/>
            <w:tcBorders>
              <w:top w:val="single" w:color="auto" w:sz="4" w:space="0"/>
              <w:left w:val="single" w:color="auto" w:sz="4" w:space="0"/>
              <w:right w:val="single" w:color="auto" w:sz="4" w:space="0"/>
            </w:tcBorders>
            <w:noWrap w:val="0"/>
            <w:vAlign w:val="center"/>
          </w:tcPr>
          <w:p w14:paraId="65510995">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项目实施建议一般</w:t>
            </w:r>
            <w:r>
              <w:rPr>
                <w:rFonts w:hint="eastAsia" w:ascii="宋体" w:hAnsi="宋体" w:eastAsia="宋体" w:cs="宋体"/>
                <w:caps w:val="0"/>
                <w:color w:val="auto"/>
                <w:spacing w:val="0"/>
                <w:position w:val="0"/>
                <w:sz w:val="21"/>
                <w:szCs w:val="21"/>
                <w:highlight w:val="none"/>
                <w:lang w:eastAsia="zh-CN"/>
              </w:rPr>
              <w:t>。</w:t>
            </w:r>
          </w:p>
        </w:tc>
        <w:tc>
          <w:tcPr>
            <w:tcW w:w="1398" w:type="dxa"/>
            <w:tcBorders>
              <w:top w:val="single" w:color="auto" w:sz="4" w:space="0"/>
              <w:left w:val="single" w:color="auto" w:sz="4" w:space="0"/>
              <w:right w:val="single" w:color="auto" w:sz="4" w:space="0"/>
            </w:tcBorders>
            <w:noWrap w:val="0"/>
            <w:vAlign w:val="center"/>
          </w:tcPr>
          <w:p w14:paraId="13F1404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1.8</w:t>
            </w:r>
            <w:r>
              <w:rPr>
                <w:rFonts w:hint="eastAsia" w:ascii="宋体" w:hAnsi="宋体" w:eastAsia="宋体" w:cs="宋体"/>
                <w:caps w:val="0"/>
                <w:color w:val="auto"/>
                <w:spacing w:val="0"/>
                <w:position w:val="0"/>
                <w:sz w:val="21"/>
                <w:szCs w:val="21"/>
                <w:highlight w:val="none"/>
                <w:lang w:val="zh-CN"/>
              </w:rPr>
              <w:t>分</w:t>
            </w:r>
          </w:p>
        </w:tc>
      </w:tr>
      <w:tr w14:paraId="22190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5" w:hRule="atLeast"/>
          <w:jc w:val="center"/>
        </w:trPr>
        <w:tc>
          <w:tcPr>
            <w:tcW w:w="956" w:type="dxa"/>
            <w:tcBorders>
              <w:top w:val="single" w:color="auto" w:sz="4" w:space="0"/>
              <w:right w:val="single" w:color="auto" w:sz="4" w:space="0"/>
            </w:tcBorders>
            <w:noWrap w:val="0"/>
            <w:vAlign w:val="center"/>
          </w:tcPr>
          <w:p w14:paraId="040C0EB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2.2.4</w:t>
            </w:r>
          </w:p>
        </w:tc>
        <w:tc>
          <w:tcPr>
            <w:tcW w:w="1124" w:type="dxa"/>
            <w:tcBorders>
              <w:top w:val="single" w:color="auto" w:sz="4" w:space="0"/>
              <w:right w:val="single" w:color="auto" w:sz="4" w:space="0"/>
            </w:tcBorders>
            <w:noWrap w:val="0"/>
            <w:vAlign w:val="center"/>
          </w:tcPr>
          <w:p w14:paraId="6005787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p>
          <w:p w14:paraId="1939968E">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position w:val="0"/>
                <w:sz w:val="21"/>
                <w:szCs w:val="21"/>
                <w:highlight w:val="none"/>
              </w:rPr>
              <w:t>项目管理机构</w:t>
            </w:r>
            <w:r>
              <w:rPr>
                <w:rFonts w:hint="eastAsia" w:ascii="宋体" w:hAnsi="宋体" w:eastAsia="宋体" w:cs="宋体"/>
                <w:caps w:val="0"/>
                <w:color w:val="auto"/>
                <w:spacing w:val="0"/>
                <w:kern w:val="0"/>
                <w:position w:val="0"/>
                <w:sz w:val="21"/>
                <w:szCs w:val="21"/>
                <w:highlight w:val="none"/>
              </w:rPr>
              <w:t>评分标准</w:t>
            </w:r>
          </w:p>
          <w:p w14:paraId="10F0B3A0">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kern w:val="21"/>
                <w:position w:val="0"/>
                <w:sz w:val="21"/>
                <w:szCs w:val="21"/>
                <w:highlight w:val="none"/>
              </w:rPr>
            </w:pPr>
            <w:r>
              <w:rPr>
                <w:rFonts w:hint="eastAsia" w:ascii="宋体" w:hAnsi="宋体" w:eastAsia="宋体" w:cs="宋体"/>
                <w:caps w:val="0"/>
                <w:color w:val="auto"/>
                <w:spacing w:val="0"/>
                <w:kern w:val="21"/>
                <w:position w:val="0"/>
                <w:sz w:val="21"/>
                <w:szCs w:val="21"/>
                <w:highlight w:val="none"/>
              </w:rPr>
              <w:t>（3分）</w:t>
            </w:r>
          </w:p>
          <w:p w14:paraId="3F57AA9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kern w:val="21"/>
                <w:position w:val="0"/>
                <w:sz w:val="21"/>
                <w:szCs w:val="21"/>
                <w:highlight w:val="none"/>
              </w:rPr>
            </w:pPr>
          </w:p>
        </w:tc>
        <w:tc>
          <w:tcPr>
            <w:tcW w:w="2299" w:type="dxa"/>
            <w:gridSpan w:val="3"/>
            <w:tcBorders>
              <w:top w:val="single" w:color="auto" w:sz="4" w:space="0"/>
              <w:left w:val="single" w:color="auto" w:sz="4" w:space="0"/>
              <w:right w:val="single" w:color="auto" w:sz="4" w:space="0"/>
            </w:tcBorders>
            <w:noWrap w:val="0"/>
            <w:vAlign w:val="center"/>
          </w:tcPr>
          <w:p w14:paraId="2FAE7011">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项目经理</w:t>
            </w:r>
          </w:p>
          <w:p w14:paraId="2E570203">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w:t>
            </w:r>
            <w:r>
              <w:rPr>
                <w:rFonts w:hint="eastAsia" w:ascii="宋体" w:hAnsi="宋体" w:eastAsia="宋体" w:cs="宋体"/>
                <w:caps w:val="0"/>
                <w:color w:val="auto"/>
                <w:spacing w:val="0"/>
                <w:kern w:val="0"/>
                <w:position w:val="0"/>
                <w:sz w:val="21"/>
                <w:szCs w:val="21"/>
                <w:highlight w:val="none"/>
                <w:lang w:val="en-US" w:eastAsia="zh-CN"/>
              </w:rPr>
              <w:t>3</w:t>
            </w:r>
            <w:r>
              <w:rPr>
                <w:rFonts w:hint="eastAsia" w:ascii="宋体" w:hAnsi="宋体" w:eastAsia="宋体" w:cs="宋体"/>
                <w:caps w:val="0"/>
                <w:color w:val="auto"/>
                <w:spacing w:val="0"/>
                <w:kern w:val="0"/>
                <w:position w:val="0"/>
                <w:sz w:val="21"/>
                <w:szCs w:val="21"/>
                <w:highlight w:val="none"/>
              </w:rPr>
              <w:t>分）</w:t>
            </w:r>
          </w:p>
        </w:tc>
        <w:tc>
          <w:tcPr>
            <w:tcW w:w="6017" w:type="dxa"/>
            <w:gridSpan w:val="3"/>
            <w:tcBorders>
              <w:top w:val="single" w:color="auto" w:sz="4" w:space="0"/>
              <w:left w:val="single" w:color="auto" w:sz="4" w:space="0"/>
              <w:bottom w:val="single" w:color="auto" w:sz="4" w:space="0"/>
              <w:right w:val="single" w:color="auto" w:sz="4" w:space="0"/>
            </w:tcBorders>
            <w:noWrap w:val="0"/>
            <w:vAlign w:val="center"/>
          </w:tcPr>
          <w:p w14:paraId="48922E96">
            <w:pPr>
              <w:keepNext w:val="0"/>
              <w:keepLines w:val="0"/>
              <w:pageBreakBefore w:val="0"/>
              <w:widowControl w:val="0"/>
              <w:kinsoku/>
              <w:wordWrap/>
              <w:overflowPunct/>
              <w:topLinePunct w:val="0"/>
              <w:autoSpaceDE/>
              <w:autoSpaceDN/>
              <w:bidi w:val="0"/>
              <w:adjustRightInd/>
              <w:snapToGrid/>
              <w:spacing w:line="288" w:lineRule="auto"/>
              <w:ind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lang w:val="en-US" w:eastAsia="zh-CN"/>
              </w:rPr>
              <w:t>项目经理</w:t>
            </w:r>
            <w:r>
              <w:rPr>
                <w:rFonts w:hint="eastAsia" w:ascii="宋体" w:hAnsi="宋体" w:eastAsia="宋体" w:cs="宋体"/>
                <w:caps w:val="0"/>
                <w:color w:val="auto"/>
                <w:spacing w:val="0"/>
                <w:position w:val="0"/>
                <w:sz w:val="21"/>
                <w:szCs w:val="21"/>
                <w:highlight w:val="none"/>
              </w:rPr>
              <w:t>（</w:t>
            </w:r>
            <w:r>
              <w:rPr>
                <w:rFonts w:hint="eastAsia" w:ascii="宋体" w:hAnsi="宋体" w:eastAsia="宋体" w:cs="宋体"/>
                <w:caps w:val="0"/>
                <w:color w:val="auto"/>
                <w:spacing w:val="0"/>
                <w:kern w:val="0"/>
                <w:position w:val="0"/>
                <w:sz w:val="21"/>
                <w:szCs w:val="21"/>
                <w:highlight w:val="none"/>
              </w:rPr>
              <w:t>2020年</w:t>
            </w:r>
            <w:r>
              <w:rPr>
                <w:rFonts w:hint="eastAsia" w:ascii="宋体" w:hAnsi="宋体" w:eastAsia="宋体" w:cs="宋体"/>
                <w:caps w:val="0"/>
                <w:color w:val="auto"/>
                <w:spacing w:val="0"/>
                <w:kern w:val="0"/>
                <w:position w:val="0"/>
                <w:sz w:val="21"/>
                <w:szCs w:val="21"/>
                <w:highlight w:val="none"/>
                <w:lang w:eastAsia="zh-CN"/>
              </w:rPr>
              <w:t>08月</w:t>
            </w:r>
            <w:r>
              <w:rPr>
                <w:rFonts w:hint="eastAsia" w:ascii="宋体" w:hAnsi="宋体" w:eastAsia="宋体" w:cs="宋体"/>
                <w:caps w:val="0"/>
                <w:color w:val="auto"/>
                <w:spacing w:val="0"/>
                <w:kern w:val="0"/>
                <w:position w:val="0"/>
                <w:sz w:val="21"/>
                <w:szCs w:val="21"/>
                <w:highlight w:val="none"/>
              </w:rPr>
              <w:t>01日</w:t>
            </w:r>
            <w:r>
              <w:rPr>
                <w:rFonts w:hint="eastAsia" w:ascii="宋体" w:hAnsi="宋体" w:eastAsia="宋体" w:cs="宋体"/>
                <w:caps w:val="0"/>
                <w:color w:val="auto"/>
                <w:spacing w:val="0"/>
                <w:kern w:val="0"/>
                <w:position w:val="0"/>
                <w:sz w:val="21"/>
                <w:szCs w:val="21"/>
                <w:highlight w:val="none"/>
                <w:lang w:eastAsia="zh-CN"/>
              </w:rPr>
              <w:t>至开标日</w:t>
            </w:r>
            <w:r>
              <w:rPr>
                <w:rFonts w:hint="eastAsia" w:ascii="宋体" w:hAnsi="宋体" w:eastAsia="宋体" w:cs="宋体"/>
                <w:caps w:val="0"/>
                <w:color w:val="auto"/>
                <w:spacing w:val="0"/>
                <w:position w:val="0"/>
                <w:sz w:val="21"/>
                <w:szCs w:val="21"/>
                <w:highlight w:val="none"/>
              </w:rPr>
              <w:t>）每有一项4万吨级及以上高桩码头</w:t>
            </w:r>
            <w:r>
              <w:rPr>
                <w:rFonts w:hint="eastAsia" w:ascii="宋体" w:hAnsi="宋体" w:eastAsia="宋体" w:cs="宋体"/>
                <w:caps w:val="0"/>
                <w:color w:val="auto"/>
                <w:spacing w:val="0"/>
                <w:position w:val="0"/>
                <w:sz w:val="21"/>
                <w:szCs w:val="21"/>
                <w:highlight w:val="none"/>
                <w:lang w:eastAsia="zh-CN"/>
              </w:rPr>
              <w:t>设计施工总承包</w:t>
            </w:r>
            <w:r>
              <w:rPr>
                <w:rFonts w:hint="eastAsia" w:ascii="宋体" w:hAnsi="宋体" w:eastAsia="宋体" w:cs="宋体"/>
                <w:caps w:val="0"/>
                <w:color w:val="auto"/>
                <w:spacing w:val="0"/>
                <w:position w:val="0"/>
                <w:sz w:val="21"/>
                <w:szCs w:val="21"/>
                <w:highlight w:val="none"/>
              </w:rPr>
              <w:t>（含EPC总承包）项目</w:t>
            </w:r>
            <w:r>
              <w:rPr>
                <w:rFonts w:hint="eastAsia" w:ascii="宋体" w:hAnsi="宋体" w:eastAsia="宋体" w:cs="宋体"/>
                <w:caps w:val="0"/>
                <w:color w:val="auto"/>
                <w:spacing w:val="0"/>
                <w:position w:val="0"/>
                <w:sz w:val="21"/>
                <w:szCs w:val="21"/>
                <w:highlight w:val="none"/>
                <w:lang w:val="en-US" w:eastAsia="zh-CN"/>
              </w:rPr>
              <w:t>的</w:t>
            </w:r>
            <w:r>
              <w:rPr>
                <w:rFonts w:hint="eastAsia" w:ascii="宋体" w:hAnsi="宋体" w:eastAsia="宋体" w:cs="宋体"/>
                <w:caps w:val="0"/>
                <w:color w:val="auto"/>
                <w:spacing w:val="0"/>
                <w:position w:val="0"/>
                <w:sz w:val="21"/>
                <w:szCs w:val="21"/>
                <w:highlight w:val="none"/>
              </w:rPr>
              <w:t>项目经理业绩得</w:t>
            </w:r>
            <w:r>
              <w:rPr>
                <w:rFonts w:hint="eastAsia" w:ascii="宋体" w:hAnsi="宋体" w:eastAsia="宋体" w:cs="宋体"/>
                <w:caps w:val="0"/>
                <w:color w:val="auto"/>
                <w:spacing w:val="0"/>
                <w:position w:val="0"/>
                <w:sz w:val="21"/>
                <w:szCs w:val="21"/>
                <w:highlight w:val="none"/>
                <w:lang w:val="en-US" w:eastAsia="zh-CN"/>
              </w:rPr>
              <w:t>3</w:t>
            </w:r>
            <w:r>
              <w:rPr>
                <w:rFonts w:hint="eastAsia" w:ascii="宋体" w:hAnsi="宋体" w:eastAsia="宋体" w:cs="宋体"/>
                <w:caps w:val="0"/>
                <w:color w:val="auto"/>
                <w:spacing w:val="0"/>
                <w:position w:val="0"/>
                <w:sz w:val="21"/>
                <w:szCs w:val="21"/>
                <w:highlight w:val="none"/>
              </w:rPr>
              <w:t>分，</w:t>
            </w:r>
            <w:r>
              <w:rPr>
                <w:rFonts w:hint="eastAsia" w:ascii="宋体" w:hAnsi="宋体" w:eastAsia="宋体" w:cs="宋体"/>
                <w:caps w:val="0"/>
                <w:color w:val="auto"/>
                <w:spacing w:val="0"/>
                <w:kern w:val="0"/>
                <w:position w:val="0"/>
                <w:sz w:val="21"/>
                <w:szCs w:val="21"/>
                <w:highlight w:val="none"/>
              </w:rPr>
              <w:t xml:space="preserve">本评审项最高得 </w:t>
            </w:r>
            <w:r>
              <w:rPr>
                <w:rFonts w:hint="eastAsia" w:ascii="宋体" w:hAnsi="宋体" w:eastAsia="宋体" w:cs="宋体"/>
                <w:caps w:val="0"/>
                <w:color w:val="auto"/>
                <w:spacing w:val="0"/>
                <w:kern w:val="0"/>
                <w:position w:val="0"/>
                <w:sz w:val="21"/>
                <w:szCs w:val="21"/>
                <w:highlight w:val="none"/>
                <w:lang w:val="en-US" w:eastAsia="zh-CN"/>
              </w:rPr>
              <w:t>3</w:t>
            </w:r>
            <w:r>
              <w:rPr>
                <w:rFonts w:hint="eastAsia" w:ascii="宋体" w:hAnsi="宋体" w:eastAsia="宋体" w:cs="宋体"/>
                <w:caps w:val="0"/>
                <w:color w:val="auto"/>
                <w:spacing w:val="0"/>
                <w:kern w:val="0"/>
                <w:position w:val="0"/>
                <w:sz w:val="21"/>
                <w:szCs w:val="21"/>
                <w:highlight w:val="none"/>
              </w:rPr>
              <w:t>分</w:t>
            </w:r>
            <w:r>
              <w:rPr>
                <w:rFonts w:hint="eastAsia" w:ascii="宋体" w:hAnsi="宋体" w:eastAsia="宋体" w:cs="宋体"/>
                <w:caps w:val="0"/>
                <w:color w:val="auto"/>
                <w:spacing w:val="0"/>
                <w:position w:val="0"/>
                <w:sz w:val="21"/>
                <w:szCs w:val="21"/>
                <w:highlight w:val="none"/>
              </w:rPr>
              <w:t>。</w:t>
            </w:r>
          </w:p>
          <w:p w14:paraId="24623F3E">
            <w:pPr>
              <w:keepNext w:val="0"/>
              <w:keepLines w:val="0"/>
              <w:pageBreakBefore w:val="0"/>
              <w:widowControl w:val="0"/>
              <w:kinsoku/>
              <w:wordWrap/>
              <w:overflowPunct/>
              <w:topLinePunct w:val="0"/>
              <w:autoSpaceDE/>
              <w:autoSpaceDN/>
              <w:bidi w:val="0"/>
              <w:adjustRightInd/>
              <w:snapToGrid/>
              <w:spacing w:line="288" w:lineRule="auto"/>
              <w:ind w:left="0" w:right="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注：“业绩”指已完成交工验收</w:t>
            </w:r>
            <w:r>
              <w:rPr>
                <w:rFonts w:hint="eastAsia" w:ascii="宋体" w:hAnsi="宋体" w:eastAsia="宋体" w:cs="宋体"/>
                <w:caps w:val="0"/>
                <w:color w:val="auto"/>
                <w:spacing w:val="0"/>
                <w:position w:val="0"/>
                <w:sz w:val="21"/>
                <w:szCs w:val="21"/>
                <w:highlight w:val="none"/>
                <w:lang w:eastAsia="zh-CN"/>
              </w:rPr>
              <w:t>设计施工总承包</w:t>
            </w:r>
            <w:r>
              <w:rPr>
                <w:rFonts w:hint="eastAsia" w:ascii="宋体" w:hAnsi="宋体" w:eastAsia="宋体" w:cs="宋体"/>
                <w:caps w:val="0"/>
                <w:color w:val="auto"/>
                <w:spacing w:val="0"/>
                <w:position w:val="0"/>
                <w:sz w:val="21"/>
                <w:szCs w:val="21"/>
                <w:highlight w:val="none"/>
              </w:rPr>
              <w:t>（EPC总承包）业绩</w:t>
            </w:r>
            <w:r>
              <w:rPr>
                <w:rFonts w:hint="eastAsia" w:ascii="宋体" w:hAnsi="宋体" w:eastAsia="宋体" w:cs="宋体"/>
                <w:caps w:val="0"/>
                <w:color w:val="auto"/>
                <w:spacing w:val="0"/>
                <w:position w:val="0"/>
                <w:sz w:val="21"/>
                <w:szCs w:val="21"/>
                <w:highlight w:val="none"/>
                <w:lang w:eastAsia="zh-CN"/>
              </w:rPr>
              <w:t>；</w:t>
            </w:r>
            <w:r>
              <w:rPr>
                <w:rFonts w:hint="eastAsia" w:ascii="宋体" w:hAnsi="宋体" w:eastAsia="宋体" w:cs="宋体"/>
                <w:caps w:val="0"/>
                <w:color w:val="auto"/>
                <w:spacing w:val="0"/>
                <w:position w:val="0"/>
                <w:sz w:val="21"/>
                <w:szCs w:val="21"/>
                <w:highlight w:val="none"/>
                <w:lang w:val="en-US" w:eastAsia="zh-CN"/>
              </w:rPr>
              <w:t>时间</w:t>
            </w:r>
            <w:r>
              <w:rPr>
                <w:rFonts w:hint="eastAsia" w:ascii="宋体" w:hAnsi="宋体" w:eastAsia="宋体" w:cs="宋体"/>
                <w:caps w:val="0"/>
                <w:color w:val="auto"/>
                <w:spacing w:val="0"/>
                <w:position w:val="0"/>
                <w:sz w:val="21"/>
                <w:szCs w:val="21"/>
                <w:highlight w:val="none"/>
              </w:rPr>
              <w:t>以项目交工日期为准。</w:t>
            </w:r>
          </w:p>
        </w:tc>
      </w:tr>
      <w:tr w14:paraId="65C6B3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956" w:type="dxa"/>
            <w:tcBorders>
              <w:top w:val="single" w:color="auto" w:sz="4" w:space="0"/>
              <w:left w:val="single" w:color="auto" w:sz="4" w:space="0"/>
              <w:right w:val="single" w:color="auto" w:sz="4" w:space="0"/>
            </w:tcBorders>
            <w:noWrap w:val="0"/>
            <w:vAlign w:val="center"/>
          </w:tcPr>
          <w:p w14:paraId="5A8A2872">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lang w:eastAsia="zh-CN"/>
              </w:rPr>
            </w:pPr>
            <w:r>
              <w:rPr>
                <w:rFonts w:hint="eastAsia" w:ascii="宋体" w:hAnsi="宋体" w:eastAsia="宋体" w:cs="宋体"/>
                <w:caps w:val="0"/>
                <w:color w:val="auto"/>
                <w:spacing w:val="0"/>
                <w:position w:val="0"/>
                <w:sz w:val="21"/>
                <w:szCs w:val="21"/>
                <w:highlight w:val="none"/>
              </w:rPr>
              <w:t>2.2.</w:t>
            </w:r>
            <w:r>
              <w:rPr>
                <w:rFonts w:hint="eastAsia" w:ascii="宋体" w:hAnsi="宋体" w:eastAsia="宋体" w:cs="宋体"/>
                <w:caps w:val="0"/>
                <w:color w:val="auto"/>
                <w:spacing w:val="0"/>
                <w:position w:val="0"/>
                <w:sz w:val="21"/>
                <w:szCs w:val="21"/>
                <w:highlight w:val="none"/>
                <w:lang w:val="en-US" w:eastAsia="zh-CN"/>
              </w:rPr>
              <w:t>5</w:t>
            </w:r>
          </w:p>
        </w:tc>
        <w:tc>
          <w:tcPr>
            <w:tcW w:w="1124" w:type="dxa"/>
            <w:tcBorders>
              <w:top w:val="single" w:color="auto" w:sz="4" w:space="0"/>
              <w:left w:val="single" w:color="auto" w:sz="4" w:space="0"/>
              <w:right w:val="single" w:color="auto" w:sz="4" w:space="0"/>
            </w:tcBorders>
            <w:noWrap w:val="0"/>
            <w:vAlign w:val="center"/>
          </w:tcPr>
          <w:p w14:paraId="360841DA">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其他因素评分标准（1</w:t>
            </w:r>
            <w:r>
              <w:rPr>
                <w:rFonts w:hint="eastAsia" w:ascii="宋体" w:hAnsi="宋体" w:eastAsia="宋体" w:cs="宋体"/>
                <w:caps w:val="0"/>
                <w:color w:val="auto"/>
                <w:spacing w:val="0"/>
                <w:position w:val="0"/>
                <w:sz w:val="21"/>
                <w:szCs w:val="21"/>
                <w:highlight w:val="none"/>
                <w:lang w:val="en-US" w:eastAsia="zh-CN"/>
              </w:rPr>
              <w:t>5</w:t>
            </w:r>
            <w:r>
              <w:rPr>
                <w:rFonts w:hint="eastAsia" w:ascii="宋体" w:hAnsi="宋体" w:eastAsia="宋体" w:cs="宋体"/>
                <w:caps w:val="0"/>
                <w:color w:val="auto"/>
                <w:spacing w:val="0"/>
                <w:position w:val="0"/>
                <w:sz w:val="21"/>
                <w:szCs w:val="21"/>
                <w:highlight w:val="none"/>
              </w:rPr>
              <w:t>分）</w:t>
            </w:r>
          </w:p>
        </w:tc>
        <w:tc>
          <w:tcPr>
            <w:tcW w:w="1534" w:type="dxa"/>
            <w:gridSpan w:val="2"/>
            <w:tcBorders>
              <w:top w:val="single" w:color="auto" w:sz="4" w:space="0"/>
              <w:left w:val="single" w:color="auto" w:sz="4" w:space="0"/>
              <w:right w:val="single" w:color="auto" w:sz="4" w:space="0"/>
            </w:tcBorders>
            <w:noWrap w:val="0"/>
            <w:vAlign w:val="center"/>
          </w:tcPr>
          <w:p w14:paraId="3BFA386B">
            <w:pPr>
              <w:keepNext w:val="0"/>
              <w:keepLines w:val="0"/>
              <w:pageBreakBefore w:val="0"/>
              <w:widowControl w:val="0"/>
              <w:kinsoku/>
              <w:wordWrap/>
              <w:overflowPunct/>
              <w:topLinePunct w:val="0"/>
              <w:autoSpaceDE/>
              <w:autoSpaceDN/>
              <w:bidi w:val="0"/>
              <w:adjustRightInd/>
              <w:snapToGrid/>
              <w:spacing w:line="288" w:lineRule="auto"/>
              <w:ind w:left="0" w:right="0"/>
              <w:jc w:val="center"/>
              <w:textAlignment w:val="auto"/>
              <w:rPr>
                <w:rFonts w:hint="eastAsia" w:ascii="宋体" w:hAnsi="宋体" w:eastAsia="宋体" w:cs="宋体"/>
                <w:caps w:val="0"/>
                <w:color w:val="auto"/>
                <w:spacing w:val="0"/>
                <w:kern w:val="0"/>
                <w:position w:val="0"/>
                <w:sz w:val="21"/>
                <w:szCs w:val="21"/>
                <w:highlight w:val="none"/>
              </w:rPr>
            </w:pPr>
            <w:r>
              <w:rPr>
                <w:rFonts w:hint="eastAsia" w:ascii="宋体" w:hAnsi="宋体" w:eastAsia="宋体" w:cs="宋体"/>
                <w:caps w:val="0"/>
                <w:color w:val="auto"/>
                <w:spacing w:val="0"/>
                <w:kern w:val="0"/>
                <w:position w:val="0"/>
                <w:sz w:val="21"/>
                <w:szCs w:val="21"/>
                <w:highlight w:val="none"/>
              </w:rPr>
              <w:t>业绩（</w:t>
            </w:r>
            <w:r>
              <w:rPr>
                <w:rFonts w:hint="eastAsia" w:ascii="宋体" w:hAnsi="宋体" w:eastAsia="宋体" w:cs="宋体"/>
                <w:caps w:val="0"/>
                <w:color w:val="auto"/>
                <w:spacing w:val="0"/>
                <w:kern w:val="0"/>
                <w:position w:val="0"/>
                <w:sz w:val="21"/>
                <w:szCs w:val="21"/>
                <w:highlight w:val="none"/>
                <w:lang w:val="en-US" w:eastAsia="zh-CN"/>
              </w:rPr>
              <w:t>15</w:t>
            </w:r>
            <w:r>
              <w:rPr>
                <w:rFonts w:hint="eastAsia" w:ascii="宋体" w:hAnsi="宋体" w:eastAsia="宋体" w:cs="宋体"/>
                <w:caps w:val="0"/>
                <w:color w:val="auto"/>
                <w:spacing w:val="0"/>
                <w:kern w:val="0"/>
                <w:position w:val="0"/>
                <w:sz w:val="21"/>
                <w:szCs w:val="21"/>
                <w:highlight w:val="none"/>
              </w:rPr>
              <w:t>分）</w:t>
            </w:r>
          </w:p>
        </w:tc>
        <w:tc>
          <w:tcPr>
            <w:tcW w:w="6782" w:type="dxa"/>
            <w:gridSpan w:val="4"/>
            <w:tcBorders>
              <w:top w:val="single" w:color="auto" w:sz="4" w:space="0"/>
              <w:left w:val="single" w:color="auto" w:sz="4" w:space="0"/>
              <w:bottom w:val="single" w:color="auto" w:sz="4" w:space="0"/>
              <w:right w:val="single" w:color="auto" w:sz="4" w:space="0"/>
            </w:tcBorders>
            <w:noWrap w:val="0"/>
            <w:vAlign w:val="center"/>
          </w:tcPr>
          <w:p w14:paraId="780F58EA">
            <w:pPr>
              <w:keepNext w:val="0"/>
              <w:keepLines w:val="0"/>
              <w:pageBreakBefore w:val="0"/>
              <w:widowControl w:val="0"/>
              <w:kinsoku/>
              <w:wordWrap/>
              <w:overflowPunct/>
              <w:topLinePunct w:val="0"/>
              <w:autoSpaceDE/>
              <w:autoSpaceDN/>
              <w:bidi w:val="0"/>
              <w:adjustRightInd/>
              <w:snapToGrid/>
              <w:spacing w:line="288" w:lineRule="auto"/>
              <w:ind w:right="0"/>
              <w:jc w:val="left"/>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满足资格审查条件（业绩最低要求），</w:t>
            </w:r>
            <w:r>
              <w:rPr>
                <w:rFonts w:hint="eastAsia" w:ascii="宋体" w:hAnsi="宋体" w:eastAsia="宋体" w:cs="宋体"/>
                <w:caps w:val="0"/>
                <w:color w:val="auto"/>
                <w:spacing w:val="0"/>
                <w:position w:val="0"/>
                <w:sz w:val="21"/>
                <w:szCs w:val="21"/>
                <w:highlight w:val="none"/>
              </w:rPr>
              <w:t>投标人自2020年</w:t>
            </w:r>
            <w:r>
              <w:rPr>
                <w:rFonts w:hint="eastAsia" w:ascii="宋体" w:hAnsi="宋体" w:eastAsia="宋体" w:cs="宋体"/>
                <w:caps w:val="0"/>
                <w:color w:val="auto"/>
                <w:spacing w:val="0"/>
                <w:position w:val="0"/>
                <w:sz w:val="21"/>
                <w:szCs w:val="21"/>
                <w:highlight w:val="none"/>
                <w:lang w:val="en-US" w:eastAsia="zh-CN"/>
              </w:rPr>
              <w:t>08</w:t>
            </w:r>
            <w:r>
              <w:rPr>
                <w:rFonts w:hint="eastAsia" w:ascii="宋体" w:hAnsi="宋体" w:eastAsia="宋体" w:cs="宋体"/>
                <w:caps w:val="0"/>
                <w:color w:val="auto"/>
                <w:spacing w:val="0"/>
                <w:position w:val="0"/>
                <w:sz w:val="21"/>
                <w:szCs w:val="21"/>
                <w:highlight w:val="none"/>
              </w:rPr>
              <w:t>月</w:t>
            </w:r>
            <w:r>
              <w:rPr>
                <w:rFonts w:hint="eastAsia" w:ascii="宋体" w:hAnsi="宋体" w:eastAsia="宋体" w:cs="宋体"/>
                <w:caps w:val="0"/>
                <w:color w:val="auto"/>
                <w:spacing w:val="0"/>
                <w:position w:val="0"/>
                <w:sz w:val="21"/>
                <w:szCs w:val="21"/>
                <w:highlight w:val="none"/>
                <w:lang w:val="en-US" w:eastAsia="zh-CN"/>
              </w:rPr>
              <w:t>0</w:t>
            </w:r>
            <w:r>
              <w:rPr>
                <w:rFonts w:hint="eastAsia" w:ascii="宋体" w:hAnsi="宋体" w:eastAsia="宋体" w:cs="宋体"/>
                <w:caps w:val="0"/>
                <w:color w:val="auto"/>
                <w:spacing w:val="0"/>
                <w:position w:val="0"/>
                <w:sz w:val="21"/>
                <w:szCs w:val="21"/>
                <w:highlight w:val="none"/>
              </w:rPr>
              <w:t>1日</w:t>
            </w:r>
            <w:r>
              <w:rPr>
                <w:rFonts w:hint="eastAsia" w:ascii="宋体" w:hAnsi="宋体" w:eastAsia="宋体" w:cs="宋体"/>
                <w:caps w:val="0"/>
                <w:color w:val="auto"/>
                <w:spacing w:val="0"/>
                <w:position w:val="0"/>
                <w:sz w:val="21"/>
                <w:szCs w:val="21"/>
                <w:highlight w:val="none"/>
                <w:lang w:eastAsia="zh-CN"/>
              </w:rPr>
              <w:t>至开标日</w:t>
            </w:r>
            <w:r>
              <w:rPr>
                <w:rFonts w:hint="eastAsia" w:ascii="宋体" w:hAnsi="宋体" w:eastAsia="宋体" w:cs="宋体"/>
                <w:caps w:val="0"/>
                <w:color w:val="auto"/>
                <w:spacing w:val="0"/>
                <w:position w:val="0"/>
                <w:sz w:val="21"/>
                <w:szCs w:val="21"/>
                <w:highlight w:val="none"/>
              </w:rPr>
              <w:t>（以工程交工日期为准），</w:t>
            </w:r>
            <w:r>
              <w:rPr>
                <w:rFonts w:hint="eastAsia" w:ascii="宋体" w:hAnsi="宋体" w:eastAsia="宋体" w:cs="宋体"/>
                <w:caps w:val="0"/>
                <w:color w:val="auto"/>
                <w:spacing w:val="0"/>
                <w:position w:val="0"/>
                <w:sz w:val="21"/>
                <w:szCs w:val="21"/>
                <w:highlight w:val="none"/>
                <w:lang w:val="en-US" w:eastAsia="zh-CN"/>
              </w:rPr>
              <w:t>每增加一项独立</w:t>
            </w:r>
            <w:r>
              <w:rPr>
                <w:rFonts w:hint="eastAsia" w:ascii="宋体" w:hAnsi="宋体" w:eastAsia="宋体" w:cs="宋体"/>
                <w:caps w:val="0"/>
                <w:color w:val="auto"/>
                <w:spacing w:val="0"/>
                <w:position w:val="0"/>
                <w:sz w:val="21"/>
                <w:szCs w:val="21"/>
                <w:highlight w:val="none"/>
              </w:rPr>
              <w:t>完成4万吨级及以上高桩码头工程</w:t>
            </w:r>
            <w:r>
              <w:rPr>
                <w:rFonts w:hint="eastAsia" w:ascii="宋体" w:hAnsi="宋体" w:eastAsia="宋体" w:cs="宋体"/>
                <w:caps w:val="0"/>
                <w:color w:val="auto"/>
                <w:spacing w:val="0"/>
                <w:position w:val="0"/>
                <w:sz w:val="21"/>
                <w:szCs w:val="21"/>
                <w:highlight w:val="none"/>
                <w:lang w:eastAsia="zh-CN"/>
              </w:rPr>
              <w:t>设计施工总承包</w:t>
            </w:r>
            <w:r>
              <w:rPr>
                <w:rFonts w:hint="eastAsia" w:ascii="宋体" w:hAnsi="宋体" w:eastAsia="宋体" w:cs="宋体"/>
                <w:caps w:val="0"/>
                <w:color w:val="auto"/>
                <w:spacing w:val="0"/>
                <w:position w:val="0"/>
                <w:sz w:val="21"/>
                <w:szCs w:val="21"/>
                <w:highlight w:val="none"/>
              </w:rPr>
              <w:t>（EPC总承包）业绩</w:t>
            </w:r>
            <w:r>
              <w:rPr>
                <w:rFonts w:hint="eastAsia" w:ascii="宋体" w:hAnsi="宋体" w:eastAsia="宋体" w:cs="宋体"/>
                <w:caps w:val="0"/>
                <w:color w:val="auto"/>
                <w:spacing w:val="0"/>
                <w:position w:val="0"/>
                <w:sz w:val="21"/>
                <w:szCs w:val="21"/>
                <w:highlight w:val="none"/>
                <w:lang w:val="en-US" w:eastAsia="zh-CN"/>
              </w:rPr>
              <w:t>得3分，本评审项最高得15分</w:t>
            </w:r>
          </w:p>
          <w:p w14:paraId="44AEBD35">
            <w:pPr>
              <w:keepNext w:val="0"/>
              <w:keepLines w:val="0"/>
              <w:pageBreakBefore w:val="0"/>
              <w:widowControl w:val="0"/>
              <w:kinsoku/>
              <w:wordWrap/>
              <w:overflowPunct/>
              <w:topLinePunct w:val="0"/>
              <w:autoSpaceDE/>
              <w:autoSpaceDN/>
              <w:bidi w:val="0"/>
              <w:adjustRightInd/>
              <w:snapToGrid/>
              <w:spacing w:line="288" w:lineRule="auto"/>
              <w:ind w:right="0"/>
              <w:jc w:val="left"/>
              <w:textAlignment w:val="auto"/>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注：以联合体投标的，须由联合体牵头人提供。</w:t>
            </w:r>
          </w:p>
        </w:tc>
      </w:tr>
      <w:tr w14:paraId="05B11F4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6" w:hRule="atLeast"/>
          <w:jc w:val="center"/>
        </w:trPr>
        <w:tc>
          <w:tcPr>
            <w:tcW w:w="10396" w:type="dxa"/>
            <w:gridSpan w:val="8"/>
            <w:tcBorders>
              <w:top w:val="single" w:color="auto" w:sz="4" w:space="0"/>
              <w:left w:val="single" w:color="auto" w:sz="4" w:space="0"/>
              <w:bottom w:val="single" w:color="auto" w:sz="4" w:space="0"/>
              <w:right w:val="single" w:color="auto" w:sz="4" w:space="0"/>
            </w:tcBorders>
            <w:noWrap w:val="0"/>
            <w:vAlign w:val="center"/>
          </w:tcPr>
          <w:p w14:paraId="4C1EB29F">
            <w:pPr>
              <w:keepNext w:val="0"/>
              <w:keepLines w:val="0"/>
              <w:pageBreakBefore w:val="0"/>
              <w:widowControl w:val="0"/>
              <w:tabs>
                <w:tab w:val="left" w:pos="1485"/>
              </w:tabs>
              <w:kinsoku/>
              <w:wordWrap/>
              <w:overflowPunct/>
              <w:topLinePunct w:val="0"/>
              <w:autoSpaceDE/>
              <w:autoSpaceDN/>
              <w:bidi w:val="0"/>
              <w:adjustRightInd/>
              <w:snapToGrid/>
              <w:spacing w:line="288" w:lineRule="auto"/>
              <w:ind w:left="0" w:right="0" w:firstLine="420" w:firstLineChars="200"/>
              <w:textAlignment w:val="auto"/>
              <w:rPr>
                <w:rFonts w:hint="eastAsia" w:ascii="宋体" w:hAnsi="宋体" w:eastAsia="宋体" w:cs="宋体"/>
                <w:caps w:val="0"/>
                <w:color w:val="auto"/>
                <w:spacing w:val="0"/>
                <w:position w:val="0"/>
                <w:sz w:val="21"/>
                <w:szCs w:val="21"/>
                <w:highlight w:val="none"/>
              </w:rPr>
            </w:pPr>
            <w:r>
              <w:rPr>
                <w:rFonts w:hint="eastAsia" w:ascii="宋体" w:hAnsi="宋体" w:eastAsia="宋体" w:cs="宋体"/>
                <w:caps w:val="0"/>
                <w:color w:val="auto"/>
                <w:spacing w:val="0"/>
                <w:position w:val="0"/>
                <w:sz w:val="21"/>
                <w:szCs w:val="21"/>
                <w:highlight w:val="none"/>
              </w:rPr>
              <w:t>注：承包人实施方案评审内容中如有缺项，则该项得零分；实施方案部分得分为各评标委员会成员得分的算数平均值。</w:t>
            </w:r>
          </w:p>
        </w:tc>
      </w:tr>
    </w:tbl>
    <w:p w14:paraId="71ECB863">
      <w:pPr>
        <w:keepNext w:val="0"/>
        <w:keepLines w:val="0"/>
        <w:pageBreakBefore w:val="0"/>
        <w:kinsoku/>
        <w:wordWrap/>
        <w:overflowPunct/>
        <w:topLinePunct w:val="0"/>
        <w:bidi w:val="0"/>
        <w:adjustRightInd/>
        <w:snapToGrid/>
        <w:spacing w:line="288" w:lineRule="auto"/>
        <w:ind w:left="0" w:right="0"/>
        <w:textAlignment w:val="auto"/>
        <w:rPr>
          <w:caps w:val="0"/>
          <w:color w:val="auto"/>
          <w:spacing w:val="0"/>
          <w:position w:val="0"/>
          <w:highlight w:val="none"/>
        </w:rPr>
      </w:pPr>
    </w:p>
    <w:p w14:paraId="058D6C93">
      <w:pPr>
        <w:spacing w:line="288" w:lineRule="auto"/>
        <w:ind w:firstLine="420" w:firstLineChars="200"/>
        <w:jc w:val="left"/>
        <w:rPr>
          <w:rFonts w:hint="eastAsia"/>
          <w:caps w:val="0"/>
          <w:color w:val="auto"/>
          <w:spacing w:val="0"/>
          <w:position w:val="0"/>
          <w:highlight w:val="none"/>
        </w:rPr>
      </w:pPr>
    </w:p>
    <w:p w14:paraId="454A8598">
      <w:pPr>
        <w:spacing w:line="288" w:lineRule="auto"/>
        <w:ind w:firstLine="420" w:firstLineChars="200"/>
        <w:jc w:val="left"/>
        <w:rPr>
          <w:rFonts w:hint="eastAsia"/>
          <w:caps w:val="0"/>
          <w:color w:val="auto"/>
          <w:spacing w:val="0"/>
          <w:position w:val="0"/>
          <w:highlight w:val="none"/>
        </w:rPr>
      </w:pPr>
    </w:p>
    <w:p w14:paraId="7B3CA656">
      <w:pPr>
        <w:rPr>
          <w:highlight w:val="none"/>
        </w:rPr>
      </w:pPr>
    </w:p>
    <w:p w14:paraId="7F9B5BDF">
      <w:pPr>
        <w:spacing w:line="288" w:lineRule="auto"/>
        <w:ind w:firstLine="420" w:firstLineChars="200"/>
        <w:jc w:val="left"/>
        <w:rPr>
          <w:rFonts w:hint="eastAsia"/>
          <w:caps w:val="0"/>
          <w:color w:val="auto"/>
          <w:spacing w:val="0"/>
          <w:position w:val="0"/>
          <w:highlight w:val="none"/>
        </w:rPr>
      </w:pPr>
    </w:p>
    <w:p w14:paraId="5C7ED226">
      <w:bookmarkStart w:id="1" w:name="_GoBack"/>
      <w:bookmarkEnd w:id="1"/>
    </w:p>
    <w:sectPr>
      <w:pgSz w:w="11907" w:h="16839"/>
      <w:pgMar w:top="1417" w:right="1134" w:bottom="1134" w:left="1134" w:header="1387" w:footer="1179" w:gutter="0"/>
      <w:pgBorders>
        <w:top w:val="none" w:sz="0" w:space="0"/>
        <w:left w:val="none" w:sz="0" w:space="0"/>
        <w:bottom w:val="none" w:sz="0" w:space="0"/>
        <w:right w:val="none" w:sz="0" w:space="0"/>
      </w:pgBorders>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4D4BD1"/>
    <w:multiLevelType w:val="singleLevel"/>
    <w:tmpl w:val="E54D4BD1"/>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652D66"/>
    <w:rsid w:val="61BE4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toa heading"/>
    <w:basedOn w:val="1"/>
    <w:next w:val="1"/>
    <w:unhideWhenUsed/>
    <w:qFormat/>
    <w:uiPriority w:val="99"/>
    <w:pPr>
      <w:spacing w:before="120"/>
      <w:ind w:firstLine="560" w:firstLineChars="200"/>
    </w:pPr>
    <w:rPr>
      <w:rFonts w:ascii="Cambria" w:hAnsi="Cambria"/>
      <w:szCs w:val="24"/>
    </w:rPr>
  </w:style>
  <w:style w:type="paragraph" w:styleId="4">
    <w:name w:val="Body Text"/>
    <w:basedOn w:val="1"/>
    <w:next w:val="5"/>
    <w:qFormat/>
    <w:uiPriority w:val="0"/>
    <w:pPr>
      <w:spacing w:after="120"/>
    </w:pPr>
  </w:style>
  <w:style w:type="paragraph" w:styleId="5">
    <w:name w:val="Body Text 2"/>
    <w:basedOn w:val="1"/>
    <w:qFormat/>
    <w:uiPriority w:val="99"/>
    <w:pPr>
      <w:autoSpaceDE w:val="0"/>
      <w:autoSpaceDN w:val="0"/>
      <w:spacing w:after="120" w:line="480" w:lineRule="auto"/>
    </w:pPr>
    <w:rPr>
      <w:rFonts w:eastAsia="仿宋"/>
    </w:rPr>
  </w:style>
  <w:style w:type="paragraph" w:styleId="6">
    <w:name w:val="Plain Text"/>
    <w:basedOn w:val="1"/>
    <w:qFormat/>
    <w:uiPriority w:val="99"/>
    <w:rPr>
      <w:rFonts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2025-08-04T11:02:04Z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C0799145789247568F1E5103A4879B8E_12</vt:lpwstr>
  </property>
  <property fmtid="{D5CDD505-2E9C-101B-9397-08002B2CF9AE}" pid="4" name="KSOTemplateDocerSaveRecord">
    <vt:lpwstr>eyJoZGlkIjoiZDk5M2JmMTU5OTRiM2QyOTg1MzY5YTk1YzYwNzc0ZmEiLCJ1c2VySWQiOiIxMTM3MTU5OTMxIn0=</vt:lpwstr>
  </property>
</Properties>
</file>