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Theme="minorEastAsia" w:hAnsiTheme="minorEastAsia" w:eastAsiaTheme="minorEastAsia"/>
          <w:color w:val="auto"/>
          <w:sz w:val="24"/>
          <w:szCs w:val="24"/>
          <w:highlight w:val="none"/>
        </w:rPr>
      </w:pPr>
      <w:bookmarkStart w:id="0" w:name="_Toc111638816"/>
      <w:bookmarkStart w:id="1" w:name="_Toc111638756"/>
      <w:r>
        <w:rPr>
          <w:rFonts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rPr>
        <w:t>2：</w:t>
      </w:r>
      <w:bookmarkStart w:id="4" w:name="_GoBack"/>
      <w:r>
        <w:rPr>
          <w:rFonts w:hint="eastAsia" w:asciiTheme="minorEastAsia" w:hAnsiTheme="minorEastAsia" w:eastAsiaTheme="minorEastAsia"/>
          <w:color w:val="auto"/>
          <w:sz w:val="24"/>
          <w:szCs w:val="24"/>
          <w:highlight w:val="none"/>
        </w:rPr>
        <w:t>评标办法前附表</w:t>
      </w:r>
      <w:bookmarkEnd w:id="4"/>
      <w:bookmarkEnd w:id="0"/>
      <w:bookmarkEnd w:id="1"/>
    </w:p>
    <w:p>
      <w:pPr>
        <w:spacing w:line="360" w:lineRule="auto"/>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评标办法前附表</w:t>
      </w:r>
    </w:p>
    <w:tbl>
      <w:tblPr>
        <w:tblStyle w:val="11"/>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29"/>
        <w:gridCol w:w="7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条款号</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条款名称</w:t>
            </w:r>
          </w:p>
        </w:tc>
        <w:tc>
          <w:tcPr>
            <w:tcW w:w="700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1</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评标办法</w:t>
            </w:r>
          </w:p>
        </w:tc>
        <w:tc>
          <w:tcPr>
            <w:tcW w:w="7008" w:type="dxa"/>
            <w:tcBorders>
              <w:top w:val="single" w:color="auto" w:sz="4" w:space="0"/>
              <w:left w:val="single" w:color="auto" w:sz="4" w:space="0"/>
              <w:bottom w:val="single" w:color="auto" w:sz="4" w:space="0"/>
              <w:right w:val="single" w:color="auto" w:sz="4" w:space="0"/>
            </w:tcBorders>
            <w:vAlign w:val="center"/>
          </w:tcPr>
          <w:p>
            <w:pPr>
              <w:ind w:firstLine="420" w:firstLineChars="200"/>
              <w:jc w:val="left"/>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本次评标采用综合评估法。评标委员会对满足招标文件实质性要求的投标文件，按照本章第2.2款规定的评分标准进行打分，并按得分由高到低顺序推荐1</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名中标候选人。综合评分相等时，评标委员会依次按照以下优先顺序推荐中标候选人：</w:t>
            </w:r>
          </w:p>
          <w:p>
            <w:pPr>
              <w:ind w:left="205" w:leftChars="97" w:hanging="1"/>
              <w:jc w:val="left"/>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（1）评标价低的投标人优先；</w:t>
            </w:r>
          </w:p>
          <w:p>
            <w:pPr>
              <w:ind w:left="205" w:leftChars="97" w:hanging="1"/>
              <w:jc w:val="left"/>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（2）技术建议书得分较高的投标人优先；</w:t>
            </w:r>
          </w:p>
          <w:p>
            <w:pPr>
              <w:ind w:firstLine="420" w:firstLineChars="200"/>
              <w:jc w:val="left"/>
              <w:textAlignment w:val="baseline"/>
              <w:rPr>
                <w:rFonts w:asciiTheme="minorEastAsia" w:hAnsiTheme="minorEastAsia" w:eastAsiaTheme="minorEastAsia"/>
                <w:color w:val="auto"/>
                <w:spacing w:val="-4"/>
                <w:sz w:val="20"/>
                <w:szCs w:val="21"/>
                <w:highlight w:val="none"/>
              </w:rPr>
            </w:pPr>
            <w:r>
              <w:rPr>
                <w:rFonts w:hint="eastAsia" w:asciiTheme="minorEastAsia" w:hAnsiTheme="minorEastAsia" w:eastAsiaTheme="minorEastAsia"/>
                <w:color w:val="auto"/>
                <w:highlight w:val="none"/>
              </w:rPr>
              <w:t>（3）投标人满足资格审查条件(业绩最低条件)要求的业绩累计金额高的优先</w:t>
            </w:r>
            <w:r>
              <w:rPr>
                <w:rFonts w:hint="eastAsia" w:asciiTheme="minorEastAsia" w:hAnsiTheme="minorEastAsia" w:eastAsiaTheme="minorEastAsia"/>
                <w:color w:val="auto"/>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2.1.1</w:t>
            </w:r>
          </w:p>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2.1.3</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形式评审与响应性评审标准</w:t>
            </w:r>
          </w:p>
        </w:tc>
        <w:tc>
          <w:tcPr>
            <w:tcW w:w="7008" w:type="dxa"/>
            <w:tcBorders>
              <w:top w:val="single" w:color="auto" w:sz="4" w:space="0"/>
              <w:left w:val="single" w:color="auto" w:sz="4" w:space="0"/>
              <w:bottom w:val="single" w:color="auto" w:sz="4" w:space="0"/>
              <w:right w:val="single" w:color="auto" w:sz="4" w:space="0"/>
            </w:tcBorders>
          </w:tcPr>
          <w:p>
            <w:pPr>
              <w:spacing w:line="276"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szCs w:val="21"/>
                <w:highlight w:val="none"/>
              </w:rPr>
              <w:t>第一个信封（商务文件）评审标准：</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投标文件按照招标文件规定的格式、内容填写，字迹清晰可辨。</w:t>
            </w:r>
          </w:p>
          <w:p>
            <w:pPr>
              <w:snapToGrid w:val="0"/>
              <w:spacing w:line="264" w:lineRule="auto"/>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a．投标函按招标文件规定填报了项目名称、补遗书编号（如有）、总监理工程师和驻地监理工程师、质量要求、安全目标、监理服务期限相关信息；</w:t>
            </w:r>
          </w:p>
          <w:p>
            <w:pPr>
              <w:snapToGrid w:val="0"/>
              <w:spacing w:line="264" w:lineRule="auto"/>
              <w:textAlignment w:val="baseline"/>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b．投标文件组成齐全完整，内容均按规定填写。</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投标文件上法定代表人或其授权代理人的签字、投标人的单位章盖章齐全，符合招标文件规定。</w:t>
            </w:r>
          </w:p>
          <w:p>
            <w:pPr>
              <w:snapToGrid w:val="0"/>
              <w:spacing w:line="264"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cs="宋体" w:asciiTheme="minorEastAsia" w:hAnsiTheme="minorEastAsia" w:eastAsiaTheme="minorEastAsia"/>
                <w:color w:val="auto"/>
                <w:kern w:val="0"/>
                <w:szCs w:val="21"/>
                <w:highlight w:val="none"/>
              </w:rPr>
              <w:t>投标人按照招标文件的规定提供了投标保证金，并符合投标人须知前 附表3.4.1项的相关规定。</w:t>
            </w:r>
          </w:p>
          <w:p>
            <w:pPr>
              <w:snapToGrid w:val="0"/>
              <w:spacing w:line="264"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）投标人法定代表人授权委托代理人签署投标文件的，须提交授权委托书；符合招标文件规定。</w:t>
            </w:r>
          </w:p>
          <w:p>
            <w:pPr>
              <w:snapToGrid w:val="0"/>
              <w:spacing w:line="264"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5</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投标人法定代表人若亲自签署投标文件的，提供了法定代表人身份证明；符合招标文件规定。</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6</w:t>
            </w:r>
            <w:r>
              <w:rPr>
                <w:rFonts w:hint="eastAsia" w:cs="宋体" w:asciiTheme="minorEastAsia" w:hAnsiTheme="minorEastAsia" w:eastAsiaTheme="minorEastAsia"/>
                <w:color w:val="auto"/>
                <w:kern w:val="0"/>
                <w:szCs w:val="21"/>
                <w:highlight w:val="none"/>
              </w:rPr>
              <w:t>）投标人以联合体形式投标时，联合体满足招标文件的要求</w:t>
            </w:r>
            <w:r>
              <w:rPr>
                <w:rFonts w:hint="eastAsia" w:cs="宋体" w:asciiTheme="minorEastAsia" w:hAnsiTheme="minorEastAsia" w:eastAsiaTheme="minorEastAsia"/>
                <w:color w:val="auto"/>
                <w:kern w:val="0"/>
                <w:szCs w:val="21"/>
                <w:highlight w:val="none"/>
                <w:lang w:eastAsia="zh-CN"/>
              </w:rPr>
              <w:t>。</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7</w:t>
            </w:r>
            <w:r>
              <w:rPr>
                <w:rFonts w:hint="eastAsia" w:cs="宋体" w:asciiTheme="minorEastAsia" w:hAnsiTheme="minorEastAsia" w:eastAsiaTheme="minorEastAsia"/>
                <w:color w:val="auto"/>
                <w:kern w:val="0"/>
                <w:szCs w:val="21"/>
                <w:highlight w:val="none"/>
              </w:rPr>
              <w:t>）投标人未对本项目提出分包计划。</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8</w:t>
            </w:r>
            <w:r>
              <w:rPr>
                <w:rFonts w:hint="eastAsia" w:cs="宋体" w:asciiTheme="minorEastAsia" w:hAnsiTheme="minorEastAsia" w:eastAsiaTheme="minorEastAsia"/>
                <w:color w:val="auto"/>
                <w:kern w:val="0"/>
                <w:szCs w:val="21"/>
                <w:highlight w:val="none"/>
              </w:rPr>
              <w:t>）同一投标人未对本项目提交两个以上不同的投标文件。</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9</w:t>
            </w:r>
            <w:r>
              <w:rPr>
                <w:rFonts w:hint="eastAsia" w:cs="宋体" w:asciiTheme="minorEastAsia" w:hAnsiTheme="minorEastAsia" w:eastAsiaTheme="minorEastAsia"/>
                <w:color w:val="auto"/>
                <w:kern w:val="0"/>
                <w:szCs w:val="21"/>
                <w:highlight w:val="none"/>
              </w:rPr>
              <w:t>）投标文件中未出现有关投标报价的内容。</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10</w:t>
            </w:r>
            <w:r>
              <w:rPr>
                <w:rFonts w:hint="eastAsia" w:cs="宋体" w:asciiTheme="minorEastAsia" w:hAnsiTheme="minorEastAsia" w:eastAsiaTheme="minorEastAsia"/>
                <w:color w:val="auto"/>
                <w:kern w:val="0"/>
                <w:szCs w:val="21"/>
                <w:highlight w:val="none"/>
              </w:rPr>
              <w:t>）投标文件载明的招标项目服务期限符合招标文件规定。</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）投标文件对招标文件的实质性要求和条件作出响应。</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12</w:t>
            </w:r>
            <w:r>
              <w:rPr>
                <w:rFonts w:hint="eastAsia" w:cs="宋体" w:asciiTheme="minorEastAsia" w:hAnsiTheme="minorEastAsia" w:eastAsiaTheme="minorEastAsia"/>
                <w:color w:val="auto"/>
                <w:kern w:val="0"/>
                <w:szCs w:val="21"/>
                <w:highlight w:val="none"/>
              </w:rPr>
              <w:t>）权利义务符合招标文件规定：</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a.投标人应接受招标文件规定的风险划分原则，未提出新的风险划分办法；</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b.投标人未增加发包人的责任范围，或减少投标人义务；</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c.投标人未提出不同的支付办法；</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d.投标人对合同纠纷、事故处理办法未提出异议；</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e.投标人在投标活动中无欺诈行为；</w:t>
            </w:r>
          </w:p>
          <w:p>
            <w:pPr>
              <w:snapToGrid w:val="0"/>
              <w:spacing w:line="264" w:lineRule="auto"/>
              <w:ind w:firstLine="256" w:firstLineChars="122"/>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f.投标人未对合同条款有重要保留。 </w:t>
            </w:r>
          </w:p>
          <w:p>
            <w:pPr>
              <w:spacing w:line="276" w:lineRule="auto"/>
              <w:jc w:val="left"/>
              <w:textAlignment w:val="baseline"/>
              <w:rPr>
                <w:rFonts w:cs="宋体" w:asciiTheme="minorEastAsia" w:hAnsiTheme="minorEastAsia" w:eastAsiaTheme="minorEastAsia"/>
                <w:b/>
                <w:bCs/>
                <w:color w:val="auto"/>
                <w:sz w:val="20"/>
                <w:szCs w:val="21"/>
                <w:highlight w:val="none"/>
              </w:rPr>
            </w:pPr>
            <w:r>
              <w:rPr>
                <w:rFonts w:hint="eastAsia" w:cs="宋体" w:asciiTheme="minorEastAsia" w:hAnsiTheme="minorEastAsia" w:eastAsiaTheme="minorEastAsia"/>
                <w:b/>
                <w:bCs/>
                <w:color w:val="auto"/>
                <w:szCs w:val="21"/>
                <w:highlight w:val="none"/>
              </w:rPr>
              <w:t>第一个信封（技术文件）评审标准：</w:t>
            </w:r>
          </w:p>
          <w:p>
            <w:pPr>
              <w:spacing w:line="276"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技术建议书（暗标）符合招标文件第二章“投标人须知”第10.2款的规定。</w:t>
            </w:r>
          </w:p>
          <w:p>
            <w:pPr>
              <w:spacing w:line="276"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szCs w:val="21"/>
                <w:highlight w:val="none"/>
              </w:rPr>
              <w:t>第二个信封（报价文件）评审标准：</w:t>
            </w:r>
          </w:p>
          <w:p>
            <w:pPr>
              <w:snapToGrid w:val="0"/>
              <w:spacing w:line="264" w:lineRule="auto"/>
              <w:jc w:val="left"/>
              <w:textAlignment w:val="baseline"/>
              <w:rPr>
                <w:rFonts w:asciiTheme="minorEastAsia" w:hAnsiTheme="minorEastAsia" w:eastAsiaTheme="minorEastAsia"/>
                <w:bCs/>
                <w:color w:val="auto"/>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bCs/>
                <w:color w:val="auto"/>
                <w:szCs w:val="21"/>
                <w:highlight w:val="none"/>
              </w:rPr>
              <w:t>投标文件按照招标文件规定的格式、内容填写，字迹清晰可辨。</w:t>
            </w:r>
          </w:p>
          <w:p>
            <w:pPr>
              <w:snapToGrid w:val="0"/>
              <w:spacing w:line="264" w:lineRule="auto"/>
              <w:ind w:firstLine="256" w:firstLineChars="122"/>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a．投标函按招标文件规定填报了项目名称、补遗书编号（如有）</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Cs/>
                <w:color w:val="auto"/>
                <w:szCs w:val="21"/>
                <w:highlight w:val="none"/>
              </w:rPr>
              <w:t>投标总报价（包括大写金额和小写金额）等；</w:t>
            </w:r>
          </w:p>
          <w:p>
            <w:pPr>
              <w:snapToGrid w:val="0"/>
              <w:spacing w:line="264" w:lineRule="auto"/>
              <w:ind w:firstLine="256" w:firstLineChars="122"/>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b．报价清单说明文字与招标文件规定一致，未进行实质性修改和删减；</w:t>
            </w:r>
          </w:p>
          <w:p>
            <w:pPr>
              <w:snapToGrid w:val="0"/>
              <w:spacing w:line="264" w:lineRule="auto"/>
              <w:ind w:firstLine="256" w:firstLineChars="122"/>
              <w:textAlignment w:val="baseline"/>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c.</w:t>
            </w:r>
            <w:r>
              <w:rPr>
                <w:rFonts w:hint="eastAsia" w:asciiTheme="minorEastAsia" w:hAnsiTheme="minorEastAsia" w:eastAsiaTheme="minorEastAsia"/>
                <w:bCs/>
                <w:color w:val="auto"/>
                <w:szCs w:val="21"/>
                <w:highlight w:val="none"/>
              </w:rPr>
              <w:t>投标文件组成齐全完整，内容均按规定填写。</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投标文件上法定代表人或其授权代理人的签字、投标人的单位章盖章齐全，符合招标文件规定。</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Cs/>
                <w:color w:val="auto"/>
                <w:szCs w:val="21"/>
                <w:highlight w:val="none"/>
              </w:rPr>
              <w:t>（3）</w:t>
            </w:r>
            <w:r>
              <w:rPr>
                <w:rFonts w:hint="eastAsia" w:cs="宋体" w:asciiTheme="minorEastAsia" w:hAnsiTheme="minorEastAsia" w:eastAsiaTheme="minorEastAsia"/>
                <w:color w:val="auto"/>
                <w:kern w:val="0"/>
                <w:szCs w:val="21"/>
                <w:highlight w:val="none"/>
              </w:rPr>
              <w:t>投标报价未超过招标文件设定的最高投标限价。</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（4）投标报价的大写金额能够确定具体数值。</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（5）同一投标人未对本项目提交两个以上不同的投标报价。</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w:t>
            </w:r>
            <w:r>
              <w:rPr>
                <w:rFonts w:cs="宋体" w:asciiTheme="minorEastAsia" w:hAnsiTheme="minorEastAsia" w:eastAsiaTheme="minorEastAsia"/>
                <w:color w:val="auto"/>
                <w:kern w:val="0"/>
                <w:szCs w:val="21"/>
                <w:highlight w:val="none"/>
              </w:rPr>
              <w:t>6）投标报价中</w:t>
            </w:r>
            <w:bookmarkStart w:id="2" w:name="_Hlk111814599"/>
            <w:r>
              <w:rPr>
                <w:rFonts w:hint="eastAsia" w:cs="宋体" w:asciiTheme="minorEastAsia" w:hAnsiTheme="minorEastAsia" w:eastAsiaTheme="minorEastAsia"/>
                <w:color w:val="auto"/>
                <w:kern w:val="0"/>
                <w:szCs w:val="21"/>
                <w:highlight w:val="none"/>
              </w:rPr>
              <w:t>交工验收及缺陷责任期阶段监理服务费</w:t>
            </w:r>
            <w:bookmarkEnd w:id="2"/>
            <w:r>
              <w:rPr>
                <w:rFonts w:hint="eastAsia" w:cs="宋体" w:asciiTheme="minorEastAsia" w:hAnsiTheme="minorEastAsia" w:eastAsiaTheme="minorEastAsia"/>
                <w:color w:val="auto"/>
                <w:kern w:val="0"/>
                <w:szCs w:val="21"/>
                <w:highlight w:val="none"/>
              </w:rPr>
              <w:t>报价不低于监理服务总费用的</w:t>
            </w:r>
            <w:r>
              <w:rPr>
                <w:rFonts w:hint="eastAsia" w:cs="宋体" w:asciiTheme="minorEastAsia" w:hAnsiTheme="minorEastAsia" w:eastAsiaTheme="minorEastAsia"/>
                <w:color w:val="auto"/>
                <w:kern w:val="0"/>
                <w:szCs w:val="21"/>
                <w:highlight w:val="none"/>
                <w:lang w:eastAsia="zh-CN"/>
              </w:rPr>
              <w:t>10%</w:t>
            </w:r>
            <w:r>
              <w:rPr>
                <w:rFonts w:cs="宋体" w:asciiTheme="minorEastAsia" w:hAnsiTheme="minorEastAsia" w:eastAsiaTheme="minorEastAsia"/>
                <w:color w:val="auto"/>
                <w:kern w:val="0"/>
                <w:szCs w:val="21"/>
                <w:highlight w:val="none"/>
              </w:rPr>
              <w:t>。</w:t>
            </w:r>
          </w:p>
          <w:p>
            <w:pPr>
              <w:snapToGrid w:val="0"/>
              <w:spacing w:line="264" w:lineRule="auto"/>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szCs w:val="21"/>
                <w:highlight w:val="none"/>
              </w:rPr>
              <w:t>（7）</w:t>
            </w:r>
            <w:r>
              <w:rPr>
                <w:rFonts w:hint="eastAsia" w:ascii="宋体" w:hAnsi="宋体"/>
                <w:color w:val="auto"/>
                <w:szCs w:val="21"/>
                <w:highlight w:val="none"/>
              </w:rPr>
              <w:t>监理服务费用清单中的投标报价和投标函投标报价大写金额一致。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2.1.2</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资格评审标准</w:t>
            </w:r>
          </w:p>
        </w:tc>
        <w:tc>
          <w:tcPr>
            <w:tcW w:w="7008" w:type="dxa"/>
            <w:tcBorders>
              <w:top w:val="single" w:color="auto" w:sz="4" w:space="0"/>
              <w:left w:val="single" w:color="auto" w:sz="4" w:space="0"/>
              <w:bottom w:val="single" w:color="auto" w:sz="4" w:space="0"/>
              <w:right w:val="single" w:color="auto" w:sz="4" w:space="0"/>
            </w:tcBorders>
            <w:vAlign w:val="center"/>
          </w:tcPr>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（1）独立投标人（或联合体各方）具备有效的营业执照、组织机构代码证（三证合一或五证合一的除外）、监理资质证书和</w:t>
            </w:r>
            <w:r>
              <w:rPr>
                <w:rFonts w:hint="eastAsia" w:cs="宋体" w:asciiTheme="minorEastAsia" w:hAnsiTheme="minorEastAsia" w:eastAsiaTheme="minorEastAsia"/>
                <w:color w:val="auto"/>
                <w:szCs w:val="21"/>
                <w:highlight w:val="none"/>
              </w:rPr>
              <w:t>基本账户开户许可证（或基本存款账户信息）</w:t>
            </w:r>
            <w:r>
              <w:rPr>
                <w:rFonts w:hint="eastAsia" w:asciiTheme="minorEastAsia" w:hAnsiTheme="minorEastAsia" w:eastAsiaTheme="minorEastAsia"/>
                <w:color w:val="auto"/>
                <w:highlight w:val="none"/>
              </w:rPr>
              <w:t>；</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（2）投标人的资质等级符合招标文件规定。</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（3）投标人的类似项目业绩符合招标文件的规定。</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（4）投标人的信誉符合招标文件规定。</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（5）投标人的总监理工程师和驻地监理工程师资格符合招标文件规定。</w:t>
            </w:r>
          </w:p>
          <w:p>
            <w:pP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（6）以联合体形式参与投标的，联合体各方均符合第二章“投标人须知”第1.4.2项规定。</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（7）投标人不存在第二章“投标人须知”第1.4.3项或1.4.4项规定的任何一种情形。</w:t>
            </w:r>
          </w:p>
          <w:p>
            <w:pP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8</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szCs w:val="21"/>
                <w:highlight w:val="none"/>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2.2.1</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分值构成</w:t>
            </w:r>
          </w:p>
        </w:tc>
        <w:tc>
          <w:tcPr>
            <w:tcW w:w="7008" w:type="dxa"/>
            <w:tcBorders>
              <w:top w:val="single" w:color="auto" w:sz="4" w:space="0"/>
              <w:left w:val="single" w:color="auto" w:sz="4" w:space="0"/>
              <w:bottom w:val="single" w:color="auto" w:sz="4" w:space="0"/>
              <w:right w:val="single" w:color="auto" w:sz="4" w:space="0"/>
            </w:tcBorders>
            <w:vAlign w:val="center"/>
          </w:tcPr>
          <w:p>
            <w:pPr>
              <w:ind w:left="107"/>
              <w:jc w:val="left"/>
              <w:textAlignment w:val="baseline"/>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第一信封（商务及技术文件）评分分值构成：</w:t>
            </w:r>
          </w:p>
          <w:p>
            <w:pPr>
              <w:ind w:left="107"/>
              <w:jc w:val="left"/>
              <w:textAlignment w:val="baseline"/>
              <w:rPr>
                <w:rFonts w:cs="宋?" w:asciiTheme="minorEastAsia" w:hAnsiTheme="minorEastAsia" w:eastAsiaTheme="minorEastAsia"/>
                <w:color w:val="auto"/>
                <w:kern w:val="0"/>
                <w:sz w:val="20"/>
                <w:szCs w:val="21"/>
                <w:highlight w:val="none"/>
              </w:rPr>
            </w:pPr>
            <w:r>
              <w:rPr>
                <w:rFonts w:hint="eastAsia" w:cs="宋?" w:asciiTheme="minorEastAsia" w:hAnsiTheme="minorEastAsia" w:eastAsiaTheme="minorEastAsia"/>
                <w:color w:val="auto"/>
                <w:kern w:val="0"/>
                <w:szCs w:val="21"/>
                <w:highlight w:val="none"/>
              </w:rPr>
              <w:t>技术建议书：</w:t>
            </w:r>
            <w:r>
              <w:rPr>
                <w:rFonts w:cs="宋?" w:asciiTheme="minorEastAsia" w:hAnsiTheme="minorEastAsia" w:eastAsiaTheme="minorEastAsia"/>
                <w:color w:val="auto"/>
                <w:kern w:val="0"/>
                <w:szCs w:val="21"/>
                <w:highlight w:val="none"/>
              </w:rPr>
              <w:t>35</w:t>
            </w:r>
            <w:r>
              <w:rPr>
                <w:rFonts w:hint="eastAsia" w:cs="宋?" w:asciiTheme="minorEastAsia" w:hAnsiTheme="minorEastAsia" w:eastAsiaTheme="minorEastAsia"/>
                <w:color w:val="auto"/>
                <w:kern w:val="0"/>
                <w:szCs w:val="21"/>
                <w:highlight w:val="none"/>
              </w:rPr>
              <w:t>分</w:t>
            </w:r>
          </w:p>
          <w:p>
            <w:pPr>
              <w:ind w:left="107"/>
              <w:jc w:val="left"/>
              <w:textAlignment w:val="baseline"/>
              <w:rPr>
                <w:rFonts w:asciiTheme="minorEastAsia" w:hAnsiTheme="minorEastAsia" w:eastAsiaTheme="minorEastAsia"/>
                <w:color w:val="auto"/>
                <w:kern w:val="0"/>
                <w:sz w:val="20"/>
                <w:szCs w:val="21"/>
                <w:highlight w:val="none"/>
              </w:rPr>
            </w:pPr>
            <w:r>
              <w:rPr>
                <w:rFonts w:hint="eastAsia" w:asciiTheme="minorEastAsia" w:hAnsiTheme="minorEastAsia" w:eastAsiaTheme="minorEastAsia"/>
                <w:color w:val="auto"/>
                <w:kern w:val="0"/>
                <w:szCs w:val="21"/>
                <w:highlight w:val="none"/>
              </w:rPr>
              <w:t>主要人员：</w:t>
            </w:r>
            <w:r>
              <w:rPr>
                <w:rFonts w:asciiTheme="minorEastAsia" w:hAnsiTheme="minorEastAsia" w:eastAsiaTheme="minorEastAsia"/>
                <w:color w:val="auto"/>
                <w:kern w:val="0"/>
                <w:szCs w:val="21"/>
                <w:highlight w:val="none"/>
              </w:rPr>
              <w:t>30</w:t>
            </w:r>
            <w:r>
              <w:rPr>
                <w:rFonts w:hint="eastAsia" w:asciiTheme="minorEastAsia" w:hAnsiTheme="minorEastAsia" w:eastAsiaTheme="minorEastAsia"/>
                <w:color w:val="auto"/>
                <w:kern w:val="0"/>
                <w:szCs w:val="21"/>
                <w:highlight w:val="none"/>
              </w:rPr>
              <w:t>分</w:t>
            </w:r>
          </w:p>
          <w:p>
            <w:pPr>
              <w:ind w:left="107"/>
              <w:jc w:val="left"/>
              <w:textAlignment w:val="baseline"/>
              <w:rPr>
                <w:rFonts w:asciiTheme="minorEastAsia" w:hAnsiTheme="minorEastAsia" w:eastAsiaTheme="minorEastAsia"/>
                <w:color w:val="auto"/>
                <w:kern w:val="0"/>
                <w:sz w:val="20"/>
                <w:szCs w:val="21"/>
                <w:highlight w:val="none"/>
              </w:rPr>
            </w:pPr>
            <w:r>
              <w:rPr>
                <w:rFonts w:hint="eastAsia" w:asciiTheme="minorEastAsia" w:hAnsiTheme="minorEastAsia" w:eastAsiaTheme="minorEastAsia"/>
                <w:color w:val="auto"/>
                <w:kern w:val="0"/>
                <w:szCs w:val="21"/>
                <w:highlight w:val="none"/>
              </w:rPr>
              <w:t>业    绩：</w:t>
            </w:r>
            <w:r>
              <w:rPr>
                <w:rFonts w:asciiTheme="minorEastAsia" w:hAnsiTheme="minorEastAsia" w:eastAsiaTheme="minorEastAsia"/>
                <w:color w:val="auto"/>
                <w:kern w:val="0"/>
                <w:szCs w:val="21"/>
                <w:highlight w:val="none"/>
              </w:rPr>
              <w:t>25</w:t>
            </w:r>
            <w:r>
              <w:rPr>
                <w:rFonts w:hint="eastAsia" w:asciiTheme="minorEastAsia" w:hAnsiTheme="minorEastAsia" w:eastAsiaTheme="minorEastAsia"/>
                <w:color w:val="auto"/>
                <w:kern w:val="0"/>
                <w:szCs w:val="21"/>
                <w:highlight w:val="none"/>
              </w:rPr>
              <w:t>分</w:t>
            </w:r>
          </w:p>
          <w:p>
            <w:pPr>
              <w:ind w:left="107"/>
              <w:jc w:val="left"/>
              <w:textAlignment w:val="baseline"/>
              <w:rPr>
                <w:rFonts w:asciiTheme="minorEastAsia" w:hAnsiTheme="minorEastAsia" w:eastAsiaTheme="minorEastAsia"/>
                <w:b/>
                <w:color w:val="auto"/>
                <w:kern w:val="0"/>
                <w:sz w:val="20"/>
                <w:szCs w:val="21"/>
                <w:highlight w:val="none"/>
              </w:rPr>
            </w:pPr>
            <w:r>
              <w:rPr>
                <w:rFonts w:hint="eastAsia" w:asciiTheme="minorEastAsia" w:hAnsiTheme="minorEastAsia" w:eastAsiaTheme="minorEastAsia"/>
                <w:b/>
                <w:color w:val="auto"/>
                <w:kern w:val="0"/>
                <w:szCs w:val="21"/>
                <w:highlight w:val="none"/>
              </w:rPr>
              <w:t>第二信封（报价文件）评分分值构成：</w:t>
            </w:r>
          </w:p>
          <w:p>
            <w:pPr>
              <w:ind w:left="107"/>
              <w:jc w:val="left"/>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ind w:right="113"/>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2.2.2</w:t>
            </w:r>
          </w:p>
        </w:tc>
        <w:tc>
          <w:tcPr>
            <w:tcW w:w="1229" w:type="dxa"/>
            <w:tcBorders>
              <w:top w:val="single" w:color="auto" w:sz="4" w:space="0"/>
              <w:left w:val="single" w:color="auto" w:sz="4" w:space="0"/>
              <w:bottom w:val="single" w:color="auto" w:sz="4" w:space="0"/>
              <w:right w:val="single" w:color="auto" w:sz="4" w:space="0"/>
            </w:tcBorders>
            <w:vAlign w:val="center"/>
          </w:tcPr>
          <w:p>
            <w:pPr>
              <w:ind w:left="2"/>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评标基准价计算方法</w:t>
            </w:r>
          </w:p>
        </w:tc>
        <w:tc>
          <w:tcPr>
            <w:tcW w:w="7008" w:type="dxa"/>
            <w:tcBorders>
              <w:top w:val="single" w:color="auto" w:sz="4" w:space="0"/>
              <w:left w:val="single" w:color="auto" w:sz="4" w:space="0"/>
              <w:bottom w:val="single" w:color="auto" w:sz="4" w:space="0"/>
              <w:right w:val="single" w:color="auto" w:sz="4" w:space="0"/>
            </w:tcBorders>
            <w:vAlign w:val="center"/>
          </w:tcPr>
          <w:p>
            <w:pPr>
              <w:spacing w:line="276" w:lineRule="auto"/>
              <w:textAlignment w:val="baseline"/>
              <w:rPr>
                <w:rFonts w:ascii="宋体" w:hAnsi="宋体"/>
                <w:color w:val="auto"/>
                <w:highlight w:val="none"/>
              </w:rPr>
            </w:pPr>
            <w:r>
              <w:rPr>
                <w:rFonts w:hint="eastAsia" w:ascii="宋体" w:hAnsi="宋体"/>
                <w:color w:val="auto"/>
                <w:highlight w:val="none"/>
              </w:rPr>
              <w:t>所有通过第一个信封评审的投标文件，由评标委员会开启第二个信封，并当场计算并宣布评标基准价。</w:t>
            </w:r>
          </w:p>
          <w:p>
            <w:pPr>
              <w:spacing w:line="276" w:lineRule="auto"/>
              <w:textAlignment w:val="baseline"/>
              <w:rPr>
                <w:rFonts w:ascii="宋体" w:hAnsi="宋体"/>
                <w:color w:val="auto"/>
                <w:highlight w:val="none"/>
              </w:rPr>
            </w:pPr>
            <w:r>
              <w:rPr>
                <w:rFonts w:hint="eastAsia" w:ascii="宋体" w:hAnsi="宋体"/>
                <w:color w:val="auto"/>
                <w:highlight w:val="none"/>
              </w:rPr>
              <w:t>（1）评标价的确定：评标价=投标函文字报价</w:t>
            </w:r>
          </w:p>
          <w:p>
            <w:pPr>
              <w:textAlignment w:val="baseline"/>
              <w:rPr>
                <w:rFonts w:ascii="宋体" w:hAnsi="宋体"/>
                <w:color w:val="auto"/>
                <w:sz w:val="20"/>
                <w:highlight w:val="none"/>
              </w:rPr>
            </w:pPr>
            <w:r>
              <w:rPr>
                <w:rFonts w:hint="eastAsia" w:ascii="宋体" w:hAnsi="宋体"/>
                <w:color w:val="auto"/>
                <w:highlight w:val="none"/>
              </w:rPr>
              <w:t>（2）评标价平均值的计算：</w:t>
            </w:r>
          </w:p>
          <w:p>
            <w:pPr>
              <w:spacing w:line="288" w:lineRule="auto"/>
              <w:ind w:firstLine="420" w:firstLineChars="200"/>
              <w:jc w:val="left"/>
              <w:rPr>
                <w:rFonts w:ascii="宋体" w:hAnsi="宋体" w:cs="宋体"/>
                <w:color w:val="auto"/>
                <w:spacing w:val="-4"/>
                <w:szCs w:val="21"/>
                <w:highlight w:val="none"/>
              </w:rPr>
            </w:pPr>
            <w:r>
              <w:rPr>
                <w:rFonts w:hint="eastAsia" w:ascii="宋体" w:hAnsi="宋体"/>
                <w:color w:val="auto"/>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投标报价除外)，将该平均值作为评标价平均值</w:t>
            </w:r>
            <w:r>
              <w:rPr>
                <w:rFonts w:hint="eastAsia" w:ascii="宋体" w:hAnsi="宋体" w:cs="宋体"/>
                <w:color w:val="auto"/>
                <w:spacing w:val="-4"/>
                <w:szCs w:val="21"/>
                <w:highlight w:val="none"/>
                <w:lang w:eastAsia="zh-CN"/>
              </w:rPr>
              <w:t>。</w:t>
            </w:r>
            <w:r>
              <w:rPr>
                <w:rFonts w:hint="eastAsia" w:asciiTheme="minorEastAsia" w:hAnsiTheme="minorEastAsia" w:eastAsiaTheme="minorEastAsia"/>
                <w:color w:val="auto"/>
                <w:highlight w:val="none"/>
              </w:rPr>
              <w:t xml:space="preserve"> </w:t>
            </w:r>
          </w:p>
          <w:p>
            <w:pPr>
              <w:textAlignment w:val="baseline"/>
              <w:rPr>
                <w:rFonts w:ascii="宋体" w:hAnsi="宋体"/>
                <w:color w:val="auto"/>
                <w:sz w:val="20"/>
                <w:highlight w:val="none"/>
              </w:rPr>
            </w:pPr>
            <w:r>
              <w:rPr>
                <w:rFonts w:hint="eastAsia" w:ascii="宋体" w:hAnsi="宋体"/>
                <w:color w:val="auto"/>
                <w:highlight w:val="none"/>
              </w:rPr>
              <w:t>（3)评标基准价的确定：</w:t>
            </w:r>
          </w:p>
          <w:p>
            <w:pPr>
              <w:ind w:firstLine="420" w:firstLineChars="200"/>
              <w:textAlignment w:val="baseline"/>
              <w:rPr>
                <w:rFonts w:ascii="宋体" w:hAnsi="宋体"/>
                <w:color w:val="auto"/>
                <w:sz w:val="20"/>
                <w:highlight w:val="none"/>
              </w:rPr>
            </w:pPr>
            <w:r>
              <w:rPr>
                <w:rFonts w:hint="eastAsia" w:ascii="宋体" w:hAnsi="宋体"/>
                <w:color w:val="auto"/>
                <w:highlight w:val="none"/>
              </w:rPr>
              <w:t xml:space="preserve">将评标价平均值直接作为评标基准价（评标基准价保留两位小数，第三位四舍五入）。 </w:t>
            </w:r>
          </w:p>
          <w:p>
            <w:pPr>
              <w:ind w:firstLine="420" w:firstLineChars="200"/>
              <w:rPr>
                <w:rFonts w:asciiTheme="minorEastAsia" w:hAnsiTheme="minorEastAsia" w:eastAsiaTheme="minorEastAsia"/>
                <w:color w:val="auto"/>
                <w:szCs w:val="21"/>
                <w:highlight w:val="none"/>
              </w:rPr>
            </w:pPr>
            <w:r>
              <w:rPr>
                <w:rFonts w:hint="eastAsia" w:ascii="宋体" w:hAnsi="宋体"/>
                <w:color w:val="auto"/>
                <w:highlight w:val="none"/>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ind w:right="113"/>
              <w:jc w:val="center"/>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2.2.3</w:t>
            </w:r>
          </w:p>
        </w:tc>
        <w:tc>
          <w:tcPr>
            <w:tcW w:w="1229" w:type="dxa"/>
            <w:tcBorders>
              <w:top w:val="single" w:color="auto" w:sz="4" w:space="0"/>
              <w:left w:val="single" w:color="auto" w:sz="4" w:space="0"/>
              <w:bottom w:val="single" w:color="auto" w:sz="4" w:space="0"/>
              <w:right w:val="single" w:color="auto" w:sz="4" w:space="0"/>
            </w:tcBorders>
            <w:vAlign w:val="center"/>
          </w:tcPr>
          <w:p>
            <w:pPr>
              <w:ind w:left="-31" w:leftChars="-15"/>
              <w:jc w:val="center"/>
              <w:textAlignment w:val="baseline"/>
              <w:rPr>
                <w:rFonts w:asciiTheme="minorEastAsia" w:hAnsiTheme="minorEastAsia" w:eastAsiaTheme="minorEastAsia"/>
                <w:color w:val="auto"/>
                <w:kern w:val="0"/>
                <w:sz w:val="20"/>
                <w:szCs w:val="21"/>
                <w:highlight w:val="none"/>
              </w:rPr>
            </w:pPr>
            <w:r>
              <w:rPr>
                <w:rFonts w:hint="eastAsia" w:asciiTheme="minorEastAsia" w:hAnsiTheme="minorEastAsia" w:eastAsiaTheme="minorEastAsia"/>
                <w:color w:val="auto"/>
                <w:kern w:val="0"/>
                <w:szCs w:val="21"/>
                <w:highlight w:val="none"/>
              </w:rPr>
              <w:t>评标价的偏差率计算公式</w:t>
            </w:r>
          </w:p>
        </w:tc>
        <w:tc>
          <w:tcPr>
            <w:tcW w:w="7008" w:type="dxa"/>
            <w:tcBorders>
              <w:top w:val="single" w:color="auto" w:sz="4" w:space="0"/>
              <w:left w:val="single" w:color="auto" w:sz="4" w:space="0"/>
              <w:bottom w:val="single" w:color="auto" w:sz="4" w:space="0"/>
              <w:right w:val="single" w:color="auto" w:sz="4" w:space="0"/>
            </w:tcBorders>
            <w:vAlign w:val="center"/>
          </w:tcPr>
          <w:p>
            <w:pPr>
              <w:spacing w:line="380" w:lineRule="exact"/>
              <w:ind w:right="113" w:firstLine="426" w:firstLineChars="203"/>
              <w:textAlignment w:val="baseline"/>
              <w:rPr>
                <w:rFonts w:asciiTheme="minorEastAsia" w:hAnsiTheme="minorEastAsia" w:eastAsiaTheme="minorEastAsia"/>
                <w:color w:val="auto"/>
                <w:sz w:val="20"/>
                <w:szCs w:val="21"/>
                <w:highlight w:val="none"/>
              </w:rPr>
            </w:pPr>
            <w:r>
              <w:rPr>
                <w:rFonts w:hint="eastAsia" w:asciiTheme="minorEastAsia" w:hAnsiTheme="minorEastAsia" w:eastAsiaTheme="minorEastAsia"/>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wordWrap w:val="0"/>
              <w:spacing w:line="276"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3.6.1</w:t>
            </w:r>
          </w:p>
        </w:tc>
        <w:tc>
          <w:tcPr>
            <w:tcW w:w="1229" w:type="dxa"/>
            <w:tcBorders>
              <w:top w:val="single" w:color="auto" w:sz="4" w:space="0"/>
              <w:left w:val="single" w:color="auto" w:sz="4" w:space="0"/>
              <w:bottom w:val="single" w:color="auto" w:sz="4" w:space="0"/>
              <w:right w:val="single" w:color="auto" w:sz="4" w:space="0"/>
            </w:tcBorders>
            <w:vAlign w:val="center"/>
          </w:tcPr>
          <w:p>
            <w:pPr>
              <w:wordWrap w:val="0"/>
              <w:spacing w:line="276"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投标文件相关信息的核查</w:t>
            </w:r>
          </w:p>
        </w:tc>
        <w:tc>
          <w:tcPr>
            <w:tcW w:w="7008" w:type="dxa"/>
            <w:tcBorders>
              <w:top w:val="single" w:color="auto" w:sz="4" w:space="0"/>
              <w:left w:val="single" w:color="auto" w:sz="4" w:space="0"/>
              <w:bottom w:val="single" w:color="auto" w:sz="4" w:space="0"/>
              <w:right w:val="single" w:color="auto" w:sz="4" w:space="0"/>
            </w:tcBorders>
            <w:vAlign w:val="center"/>
          </w:tcPr>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在评标过程中，评标委员会应对以下信息进行查询：</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（1）投标人名称和资质与“全国公路建设市场监督管理系统（https://hwdms.mot.gov.cn/BMWebSite/）”的复核结果一致；</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（2）投标人的类似项目业绩符合招标文件规定，所附相关项目详细信息网页截图扫描件与“全国公路建设市场监督管理系统（https://hwdms.mot.gov.cn/BMWebSite/）”的复核结果一致；</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（3）所附总监理工程师和驻地监理工程师岗位登记信息（执业资格、履历信息等）和业绩的网页截图扫描件与“全国公路建设市场监督管理系统（https://hwdms.mot.gov.cn/BMWebSite/）”的复核结果一致；</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r>
              <w:rPr>
                <w:rFonts w:hint="eastAsia" w:ascii="宋体" w:hAnsi="宋体" w:eastAsia="宋体"/>
                <w:color w:val="auto"/>
                <w:highlight w:val="none"/>
              </w:rPr>
              <w:t>投标人</w:t>
            </w:r>
            <w:r>
              <w:rPr>
                <w:rFonts w:hint="eastAsia" w:ascii="宋体" w:hAnsi="宋体" w:cs="宋体"/>
                <w:color w:val="auto"/>
                <w:highlight w:val="none"/>
              </w:rPr>
              <w:t>（联合体所有成员）</w:t>
            </w:r>
            <w:r>
              <w:rPr>
                <w:rFonts w:hint="eastAsia" w:ascii="宋体" w:hAnsi="宋体" w:eastAsia="宋体"/>
                <w:color w:val="auto"/>
                <w:highlight w:val="none"/>
              </w:rPr>
              <w:t>信用情况网页截图内容与在“国家企业信用信息公示系统”中严重违法失信名单（黑名单）信息（不含分公司）</w:t>
            </w:r>
            <w:r>
              <w:rPr>
                <w:rFonts w:hint="default" w:ascii="宋体" w:hAnsi="宋体" w:eastAsia="宋体"/>
                <w:color w:val="auto"/>
                <w:highlight w:val="none"/>
              </w:rPr>
              <w:t>，</w:t>
            </w:r>
            <w:r>
              <w:rPr>
                <w:rFonts w:hint="eastAsia" w:ascii="宋体" w:hAnsi="宋体" w:cs="宋体"/>
                <w:color w:val="auto"/>
                <w:highlight w:val="none"/>
              </w:rPr>
              <w:t>在“信用中国”网站“被列入</w:t>
            </w:r>
            <w:r>
              <w:rPr>
                <w:rFonts w:hint="eastAsia" w:ascii="宋体" w:hAnsi="宋体" w:cs="宋体"/>
                <w:color w:val="auto"/>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color w:val="auto"/>
                <w:highlight w:val="none"/>
              </w:rPr>
              <w:t>”</w:t>
            </w:r>
            <w:r>
              <w:rPr>
                <w:rFonts w:hint="eastAsia" w:ascii="宋体" w:hAnsi="宋体" w:eastAsia="宋体"/>
                <w:color w:val="auto"/>
                <w:highlight w:val="none"/>
              </w:rPr>
              <w:t>的复核结果一致。</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前述（1）、（2）、（3）、（4）项如投标人未提供相关网页截图或所附截图与复核结果不一致导致其不满足资格条件，评标委员会应按照其不满足资格条件否决其投标。</w:t>
            </w:r>
          </w:p>
          <w:p>
            <w:pPr>
              <w:wordWrap w:val="0"/>
              <w:spacing w:line="276"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wordWrap w:val="0"/>
        <w:spacing w:line="276" w:lineRule="auto"/>
        <w:ind w:firstLine="420" w:firstLineChars="200"/>
        <w:rPr>
          <w:rFonts w:asciiTheme="minorEastAsia" w:hAnsiTheme="minorEastAsia" w:eastAsiaTheme="minorEastAsia"/>
          <w:color w:val="auto"/>
          <w:highlight w:val="none"/>
        </w:rPr>
      </w:pPr>
    </w:p>
    <w:p>
      <w:pPr>
        <w:wordWrap w:val="0"/>
        <w:spacing w:line="276" w:lineRule="auto"/>
        <w:ind w:firstLine="420" w:firstLineChars="200"/>
        <w:rPr>
          <w:rFonts w:asciiTheme="minorEastAsia" w:hAnsiTheme="minorEastAsia" w:eastAsiaTheme="minorEastAsia"/>
          <w:b/>
          <w:color w:val="auto"/>
          <w:highlight w:val="none"/>
        </w:rPr>
      </w:pPr>
      <w:r>
        <w:rPr>
          <w:rFonts w:hint="eastAsia" w:asciiTheme="minorEastAsia" w:hAnsiTheme="minorEastAsia" w:eastAsiaTheme="minorEastAsia"/>
          <w:color w:val="auto"/>
          <w:highlight w:val="none"/>
        </w:rPr>
        <w:t>具体评分标准如下：</w:t>
      </w:r>
    </w:p>
    <w:tbl>
      <w:tblPr>
        <w:tblStyle w:val="11"/>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276"/>
        <w:gridCol w:w="607"/>
        <w:gridCol w:w="1418"/>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30" w:type="dxa"/>
            <w:gridSpan w:val="5"/>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szCs w:val="20"/>
                <w:highlight w:val="none"/>
              </w:rPr>
            </w:pPr>
            <w:bookmarkStart w:id="3" w:name="_Toc356504160"/>
            <w:r>
              <w:rPr>
                <w:rFonts w:hint="eastAsia" w:asciiTheme="minorEastAsia" w:hAnsiTheme="minorEastAsia" w:eastAsiaTheme="minorEastAsia"/>
                <w:color w:val="auto"/>
                <w:highlight w:val="none"/>
              </w:rPr>
              <w:t>评分因素与权重分值</w:t>
            </w:r>
          </w:p>
        </w:tc>
        <w:tc>
          <w:tcPr>
            <w:tcW w:w="533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条款号</w:t>
            </w:r>
          </w:p>
        </w:tc>
        <w:tc>
          <w:tcPr>
            <w:tcW w:w="850"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40" w:leftChars="-19" w:firstLine="1"/>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评分因素权重分值</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Style w:val="15"/>
                <w:rFonts w:hint="default" w:asciiTheme="minorEastAsia" w:hAnsiTheme="minorEastAsia" w:eastAsiaTheme="minorEastAsia"/>
                <w:color w:val="auto"/>
                <w:highlight w:val="none"/>
              </w:rPr>
              <w:t>各评分因素细分项</w:t>
            </w:r>
          </w:p>
        </w:tc>
        <w:tc>
          <w:tcPr>
            <w:tcW w:w="60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Chars="-50" w:right="-107" w:rightChars="-51" w:hanging="100" w:hangingChars="50"/>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分值</w:t>
            </w:r>
          </w:p>
        </w:tc>
        <w:tc>
          <w:tcPr>
            <w:tcW w:w="53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技术建议书</w:t>
            </w:r>
          </w:p>
          <w:p>
            <w:pPr>
              <w:pStyle w:val="7"/>
              <w:spacing w:line="160" w:lineRule="atLeast"/>
              <w:ind w:left="-49" w:leftChars="-95" w:right="-206" w:rightChars="-98" w:hanging="150" w:hangingChars="75"/>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（暗标）</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35</w:t>
            </w:r>
            <w:r>
              <w:rPr>
                <w:rFonts w:hint="eastAsia" w:asciiTheme="minorEastAsia" w:hAnsiTheme="minorEastAsia" w:eastAsiaTheme="minorEastAsia"/>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监理大纲和措施</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86" w:leftChars="-20" w:right="-42" w:rightChars="-20" w:hanging="128" w:hangingChars="64"/>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对本招标项目监理工作范围和任务理解(</w:t>
            </w:r>
            <w:r>
              <w:rPr>
                <w:rFonts w:asciiTheme="minorEastAsia" w:hAnsiTheme="minorEastAsia" w:eastAsiaTheme="minorEastAsia"/>
                <w:color w:val="auto"/>
                <w:highlight w:val="none"/>
              </w:rPr>
              <w:t>4</w:t>
            </w:r>
            <w:r>
              <w:rPr>
                <w:rFonts w:hint="eastAsia" w:asciiTheme="minorEastAsia" w:hAnsiTheme="minorEastAsia" w:eastAsiaTheme="minorEastAsia"/>
                <w:color w:val="auto"/>
                <w:highlight w:val="none"/>
              </w:rPr>
              <w:t>分)</w:t>
            </w: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理解准确，思路清晰，全面、合理，符合项目要求，得</w:t>
            </w:r>
            <w:r>
              <w:rPr>
                <w:rFonts w:asciiTheme="minorEastAsia" w:hAnsiTheme="minorEastAsia" w:eastAsiaTheme="minorEastAsia"/>
                <w:color w:val="auto"/>
                <w:highlight w:val="none"/>
              </w:rPr>
              <w:t>3.2</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理解较准确，思路较清晰，得</w:t>
            </w:r>
            <w:r>
              <w:rPr>
                <w:rFonts w:asciiTheme="minorEastAsia" w:hAnsiTheme="minorEastAsia" w:eastAsiaTheme="minorEastAsia"/>
                <w:color w:val="auto"/>
                <w:highlight w:val="none"/>
              </w:rPr>
              <w:t>2.4</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3.2</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理解基本准确，得</w:t>
            </w:r>
            <w:r>
              <w:rPr>
                <w:rFonts w:asciiTheme="minorEastAsia" w:hAnsiTheme="minorEastAsia" w:eastAsiaTheme="minorEastAsia"/>
                <w:color w:val="auto"/>
                <w:highlight w:val="none"/>
              </w:rPr>
              <w:t>2.4</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监理方案及措施</w:t>
            </w:r>
          </w:p>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（8分）</w:t>
            </w: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方案详尽，措施具体全面合理，可行性强，得6.4-</w:t>
            </w:r>
            <w:r>
              <w:rPr>
                <w:rFonts w:asciiTheme="minorEastAsia" w:hAnsiTheme="minorEastAsia" w:eastAsiaTheme="minorEastAsia"/>
                <w:color w:val="auto"/>
                <w:highlight w:val="none"/>
              </w:rPr>
              <w:t>8.0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方案较详尽，措施合理，可行性较好，得</w:t>
            </w:r>
            <w:r>
              <w:rPr>
                <w:rFonts w:asciiTheme="minorEastAsia" w:hAnsiTheme="minorEastAsia" w:eastAsiaTheme="minorEastAsia"/>
                <w:color w:val="auto"/>
                <w:highlight w:val="none"/>
              </w:rPr>
              <w:t>4.8</w:t>
            </w:r>
            <w:r>
              <w:rPr>
                <w:rFonts w:hint="eastAsia" w:asciiTheme="minorEastAsia" w:hAnsiTheme="minorEastAsia" w:eastAsiaTheme="minorEastAsia"/>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方案一般，措施基本全面，可行性一般，得4.8分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ind w:right="-57" w:rightChars="-27"/>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监理工作程序(8分)</w:t>
            </w: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内容齐全，阶段划分合理、正确，可实施性强，得6.4-</w:t>
            </w:r>
            <w:r>
              <w:rPr>
                <w:rFonts w:asciiTheme="minorEastAsia" w:hAnsiTheme="minorEastAsia" w:eastAsiaTheme="minorEastAsia"/>
                <w:color w:val="auto"/>
                <w:highlight w:val="none"/>
              </w:rPr>
              <w:t>8.0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内容较齐全，阶段划分较合理，可实施性较好，得</w:t>
            </w:r>
            <w:r>
              <w:rPr>
                <w:rFonts w:asciiTheme="minorEastAsia" w:hAnsiTheme="minorEastAsia" w:eastAsiaTheme="minorEastAsia"/>
                <w:color w:val="auto"/>
                <w:highlight w:val="none"/>
              </w:rPr>
              <w:t>4.8</w:t>
            </w:r>
            <w:r>
              <w:rPr>
                <w:rFonts w:hint="eastAsia" w:asciiTheme="minorEastAsia" w:hAnsiTheme="minorEastAsia" w:eastAsiaTheme="minorEastAsia"/>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center"/>
              <w:rPr>
                <w:rFonts w:asciiTheme="minorEastAsia" w:hAnsiTheme="minorEastAsia" w:eastAsiaTheme="minorEastAsia"/>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391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内容基本齐全，阶段划分基本合理，可实施性一般，得4.8分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本工程监理工作的重点与难点分析</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86" w:leftChars="-20" w:right="-42" w:rightChars="-20" w:hanging="128" w:hangingChars="64"/>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分析透彻，对难点、重点把握准确；处理措施科学合理，有效可行，得</w:t>
            </w:r>
            <w:r>
              <w:rPr>
                <w:rFonts w:asciiTheme="minorEastAsia" w:hAnsiTheme="minorEastAsia" w:eastAsiaTheme="minorEastAsia"/>
                <w:color w:val="auto"/>
                <w:highlight w:val="none"/>
              </w:rPr>
              <w:t>8.0</w:t>
            </w: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rPr>
                <w:rFonts w:asciiTheme="minorEastAsia" w:hAnsiTheme="minorEastAsia" w:eastAsiaTheme="minorEastAsia"/>
                <w:color w:val="auto"/>
                <w:szCs w:val="20"/>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分析较透彻，对难点、重点把握较准确；处理措施合理，可行，得</w:t>
            </w:r>
            <w:r>
              <w:rPr>
                <w:rFonts w:asciiTheme="minorEastAsia" w:hAnsiTheme="minorEastAsia" w:eastAsiaTheme="minorEastAsia"/>
                <w:color w:val="auto"/>
                <w:highlight w:val="none"/>
              </w:rPr>
              <w:t>6.0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8.0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rPr>
                <w:rFonts w:asciiTheme="minorEastAsia" w:hAnsiTheme="minorEastAsia" w:eastAsiaTheme="minorEastAsia"/>
                <w:color w:val="auto"/>
                <w:szCs w:val="20"/>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分析一般，对难点、重点把握一般；处理措施基本合理，基本可行，得</w:t>
            </w:r>
            <w:r>
              <w:rPr>
                <w:rFonts w:asciiTheme="minorEastAsia" w:hAnsiTheme="minorEastAsia" w:eastAsiaTheme="minorEastAsia"/>
                <w:color w:val="auto"/>
                <w:highlight w:val="none"/>
              </w:rPr>
              <w:t>6.0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对本工程的建议</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42" w:leftChars="-20" w:right="-42" w:rightChars="-20"/>
              <w:jc w:val="center"/>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建议措施具体全面、可靠、合理，可实施性强，4.</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5.0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rPr>
                <w:rFonts w:asciiTheme="minorEastAsia" w:hAnsiTheme="minorEastAsia" w:eastAsiaTheme="minorEastAsia"/>
                <w:color w:val="auto"/>
                <w:szCs w:val="20"/>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建议措施全面、合理，可实施性较好，得</w:t>
            </w:r>
            <w:r>
              <w:rPr>
                <w:rFonts w:asciiTheme="minorEastAsia" w:hAnsiTheme="minorEastAsia" w:eastAsiaTheme="minorEastAsia"/>
                <w:color w:val="auto"/>
                <w:highlight w:val="none"/>
              </w:rPr>
              <w:t>3.0</w:t>
            </w:r>
            <w:r>
              <w:rPr>
                <w:rFonts w:hint="eastAsia" w:asciiTheme="minorEastAsia" w:hAnsiTheme="minorEastAsia" w:eastAsiaTheme="minorEastAsia"/>
                <w:color w:val="auto"/>
                <w:highlight w:val="none"/>
              </w:rPr>
              <w:t>-4.</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rPr>
                <w:rFonts w:asciiTheme="minorEastAsia" w:hAnsiTheme="minorEastAsia" w:eastAsiaTheme="minorEastAsia"/>
                <w:color w:val="auto"/>
                <w:szCs w:val="20"/>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建议措施基本全面、合理，可实施性一般，得</w:t>
            </w:r>
            <w:r>
              <w:rPr>
                <w:rFonts w:asciiTheme="minorEastAsia" w:hAnsiTheme="minorEastAsia" w:eastAsiaTheme="minorEastAsia"/>
                <w:color w:val="auto"/>
                <w:highlight w:val="none"/>
              </w:rPr>
              <w:t>3.0</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Merge w:val="restart"/>
            <w:tcBorders>
              <w:top w:val="nil"/>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2.2.4（2）</w:t>
            </w:r>
          </w:p>
        </w:tc>
        <w:tc>
          <w:tcPr>
            <w:tcW w:w="850" w:type="dxa"/>
            <w:vMerge w:val="restart"/>
            <w:tcBorders>
              <w:top w:val="nil"/>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主要人员</w:t>
            </w:r>
          </w:p>
        </w:tc>
        <w:tc>
          <w:tcPr>
            <w:tcW w:w="851" w:type="dxa"/>
            <w:vMerge w:val="restart"/>
            <w:tcBorders>
              <w:top w:val="nil"/>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30</w:t>
            </w:r>
            <w:r>
              <w:rPr>
                <w:rFonts w:hint="eastAsia" w:asciiTheme="minorEastAsia" w:hAnsiTheme="minorEastAsia" w:eastAsiaTheme="minorEastAsia"/>
                <w:color w:val="auto"/>
                <w:highlight w:val="none"/>
              </w:rPr>
              <w:t>分</w:t>
            </w:r>
          </w:p>
        </w:tc>
        <w:tc>
          <w:tcPr>
            <w:tcW w:w="1276" w:type="dxa"/>
            <w:vMerge w:val="restart"/>
            <w:tcBorders>
              <w:top w:val="single" w:color="auto" w:sz="4" w:space="0"/>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总监理工程师</w:t>
            </w:r>
          </w:p>
        </w:tc>
        <w:tc>
          <w:tcPr>
            <w:tcW w:w="607" w:type="dxa"/>
            <w:vMerge w:val="restart"/>
            <w:tcBorders>
              <w:top w:val="single" w:color="auto" w:sz="4" w:space="0"/>
              <w:left w:val="single" w:color="auto" w:sz="4" w:space="0"/>
              <w:right w:val="single" w:color="auto" w:sz="4" w:space="0"/>
            </w:tcBorders>
            <w:vAlign w:val="center"/>
          </w:tcPr>
          <w:p>
            <w:pPr>
              <w:pStyle w:val="7"/>
              <w:spacing w:line="160" w:lineRule="atLeast"/>
              <w:ind w:left="86" w:leftChars="-20" w:right="-42" w:rightChars="-20" w:hanging="128" w:hangingChars="64"/>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15</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满足附录</w:t>
            </w:r>
            <w:r>
              <w:rPr>
                <w:rFonts w:asciiTheme="minorEastAsia" w:hAnsiTheme="minorEastAsia" w:eastAsiaTheme="minorEastAsia"/>
                <w:color w:val="auto"/>
                <w:highlight w:val="none"/>
              </w:rPr>
              <w:t>2资格审查条件（人员最低要求）的，得9</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46"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0"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1"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1276"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607" w:type="dxa"/>
            <w:vMerge w:val="continue"/>
            <w:tcBorders>
              <w:left w:val="single" w:color="auto" w:sz="4" w:space="0"/>
              <w:bottom w:val="single" w:color="auto" w:sz="4" w:space="0"/>
              <w:right w:val="single" w:color="auto" w:sz="4" w:space="0"/>
            </w:tcBorders>
            <w:vAlign w:val="center"/>
          </w:tcPr>
          <w:p>
            <w:pPr>
              <w:pStyle w:val="7"/>
              <w:spacing w:line="160" w:lineRule="atLeast"/>
              <w:ind w:left="86" w:leftChars="-20" w:right="-42" w:rightChars="-20" w:hanging="128" w:hangingChars="64"/>
              <w:textAlignment w:val="baseline"/>
              <w:rPr>
                <w:rFonts w:asciiTheme="minorEastAsia" w:hAnsiTheme="minorEastAsia" w:eastAsiaTheme="minorEastAsia"/>
                <w:color w:val="auto"/>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在满足资格条件的基础上，总监理工程师每增加</w:t>
            </w:r>
            <w:r>
              <w:rPr>
                <w:rFonts w:cs="宋体" w:asciiTheme="minorEastAsia" w:hAnsiTheme="minorEastAsia" w:eastAsiaTheme="minorEastAsia"/>
                <w:color w:val="auto"/>
                <w:kern w:val="0"/>
                <w:highlight w:val="none"/>
              </w:rPr>
              <w:t>1项新建或改扩建高速公路主体工程（须同时包含路基、路面、特大桥工程）中担任过总监理工程师或副总监理工程师业绩，加3分，最多加6</w:t>
            </w:r>
            <w:r>
              <w:rPr>
                <w:rFonts w:hint="eastAsia" w:cs="宋体" w:asciiTheme="minorEastAsia" w:hAnsiTheme="minorEastAsia" w:eastAsiaTheme="minorEastAsia"/>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46"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0"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1" w:type="dxa"/>
            <w:vMerge w:val="continue"/>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1276" w:type="dxa"/>
            <w:vMerge w:val="restart"/>
            <w:tcBorders>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驻地监理工程师</w:t>
            </w:r>
          </w:p>
        </w:tc>
        <w:tc>
          <w:tcPr>
            <w:tcW w:w="607" w:type="dxa"/>
            <w:vMerge w:val="restart"/>
            <w:tcBorders>
              <w:top w:val="single" w:color="auto" w:sz="4" w:space="0"/>
              <w:left w:val="single" w:color="auto" w:sz="4" w:space="0"/>
              <w:right w:val="single" w:color="auto" w:sz="4" w:space="0"/>
            </w:tcBorders>
            <w:vAlign w:val="center"/>
          </w:tcPr>
          <w:p>
            <w:pPr>
              <w:pStyle w:val="7"/>
              <w:spacing w:line="160" w:lineRule="atLeast"/>
              <w:ind w:left="86" w:leftChars="-20" w:right="-42" w:rightChars="-20" w:hanging="128" w:hangingChars="64"/>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15</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cs="宋体" w:asciiTheme="minorEastAsia" w:hAnsiTheme="minorEastAsia" w:eastAsiaTheme="minorEastAsia"/>
                <w:color w:val="auto"/>
                <w:kern w:val="0"/>
                <w:highlight w:val="none"/>
              </w:rPr>
            </w:pPr>
            <w:r>
              <w:rPr>
                <w:rFonts w:hint="eastAsia" w:asciiTheme="minorEastAsia" w:hAnsiTheme="minorEastAsia" w:eastAsiaTheme="minorEastAsia"/>
                <w:color w:val="auto"/>
                <w:highlight w:val="none"/>
              </w:rPr>
              <w:t>满足附录2资格审查条件（人员最低要求）的，得</w:t>
            </w:r>
            <w:r>
              <w:rPr>
                <w:rFonts w:asciiTheme="minorEastAsia" w:hAnsiTheme="minorEastAsia" w:eastAsiaTheme="minorEastAsia"/>
                <w:color w:val="auto"/>
                <w:highlight w:val="none"/>
              </w:rPr>
              <w:t>9</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46" w:type="dxa"/>
            <w:vMerge w:val="continue"/>
            <w:tcBorders>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0" w:type="dxa"/>
            <w:vMerge w:val="continue"/>
            <w:tcBorders>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851" w:type="dxa"/>
            <w:vMerge w:val="continue"/>
            <w:tcBorders>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1276" w:type="dxa"/>
            <w:vMerge w:val="continue"/>
            <w:tcBorders>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p>
        </w:tc>
        <w:tc>
          <w:tcPr>
            <w:tcW w:w="607" w:type="dxa"/>
            <w:vMerge w:val="continue"/>
            <w:tcBorders>
              <w:left w:val="single" w:color="auto" w:sz="4" w:space="0"/>
              <w:bottom w:val="single" w:color="auto" w:sz="4" w:space="0"/>
              <w:right w:val="single" w:color="auto" w:sz="4" w:space="0"/>
            </w:tcBorders>
            <w:vAlign w:val="center"/>
          </w:tcPr>
          <w:p>
            <w:pPr>
              <w:pStyle w:val="7"/>
              <w:spacing w:line="160" w:lineRule="atLeast"/>
              <w:ind w:left="27" w:leftChars="-48" w:hanging="128" w:hangingChars="64"/>
              <w:jc w:val="center"/>
              <w:textAlignment w:val="baseline"/>
              <w:rPr>
                <w:rFonts w:asciiTheme="minorEastAsia" w:hAnsiTheme="minorEastAsia" w:eastAsiaTheme="minorEastAsia"/>
                <w:color w:val="auto"/>
                <w:highlight w:val="none"/>
              </w:rPr>
            </w:pPr>
          </w:p>
        </w:tc>
        <w:tc>
          <w:tcPr>
            <w:tcW w:w="5335"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rFonts w:cs="宋体" w:asciiTheme="minorEastAsia" w:hAnsiTheme="minorEastAsia" w:eastAsiaTheme="minorEastAsia"/>
                <w:b/>
                <w:color w:val="auto"/>
                <w:sz w:val="22"/>
                <w:szCs w:val="22"/>
                <w:highlight w:val="none"/>
              </w:rPr>
            </w:pPr>
            <w:r>
              <w:rPr>
                <w:rFonts w:hint="eastAsia" w:asciiTheme="minorEastAsia" w:hAnsiTheme="minorEastAsia" w:eastAsiaTheme="minorEastAsia"/>
                <w:color w:val="auto"/>
                <w:highlight w:val="none"/>
              </w:rPr>
              <w:t>在满足资格条件的基础上，驻地监理工程师每增加1项高速公路主体工程中担任过总监理工程师或驻地监理工程师业绩</w:t>
            </w:r>
            <w:r>
              <w:rPr>
                <w:rFonts w:hint="eastAsia" w:cs="宋体" w:asciiTheme="minorEastAsia" w:hAnsiTheme="minorEastAsia" w:eastAsiaTheme="minorEastAsia"/>
                <w:color w:val="auto"/>
                <w:kern w:val="0"/>
                <w:highlight w:val="none"/>
              </w:rPr>
              <w:t>，加3</w:t>
            </w:r>
            <w:r>
              <w:rPr>
                <w:rFonts w:cs="宋体" w:asciiTheme="minorEastAsia" w:hAnsiTheme="minorEastAsia" w:eastAsiaTheme="minorEastAsia"/>
                <w:color w:val="auto"/>
                <w:kern w:val="0"/>
                <w:highlight w:val="none"/>
              </w:rPr>
              <w:t>分，最多加6</w:t>
            </w:r>
            <w:r>
              <w:rPr>
                <w:rFonts w:hint="eastAsia" w:cs="宋体" w:asciiTheme="minorEastAsia" w:hAnsiTheme="minorEastAsia" w:eastAsiaTheme="minorEastAsia"/>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46" w:type="dxa"/>
            <w:tcBorders>
              <w:top w:val="nil"/>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2.2.4（3）</w:t>
            </w:r>
          </w:p>
        </w:tc>
        <w:tc>
          <w:tcPr>
            <w:tcW w:w="850" w:type="dxa"/>
            <w:tcBorders>
              <w:top w:val="nil"/>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评标价</w:t>
            </w:r>
          </w:p>
        </w:tc>
        <w:tc>
          <w:tcPr>
            <w:tcW w:w="851" w:type="dxa"/>
            <w:tcBorders>
              <w:top w:val="nil"/>
              <w:left w:val="single" w:color="auto" w:sz="4" w:space="0"/>
              <w:bottom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10分</w:t>
            </w:r>
          </w:p>
        </w:tc>
        <w:tc>
          <w:tcPr>
            <w:tcW w:w="7218" w:type="dxa"/>
            <w:gridSpan w:val="4"/>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评标价得分计算公式示例：</w:t>
            </w:r>
          </w:p>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（1）如果投标人的评标价＞评标基准价，则评标价得分=F-（投标人评标价-评标基准价）/评标基准价×100×E1；</w:t>
            </w:r>
          </w:p>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（2）如果投标人的评标价≤评标基准价，则评标价得分=F+(投标人评标价-评标基准价)/评标基准价×100×E2。</w:t>
            </w:r>
          </w:p>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其中，F=10；E1=0.</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；E2=0.</w:t>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6" w:type="dxa"/>
            <w:vMerge w:val="restart"/>
            <w:tcBorders>
              <w:top w:val="single" w:color="auto" w:sz="4" w:space="0"/>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2.2.4（4）</w:t>
            </w:r>
          </w:p>
        </w:tc>
        <w:tc>
          <w:tcPr>
            <w:tcW w:w="850" w:type="dxa"/>
            <w:vMerge w:val="restart"/>
            <w:tcBorders>
              <w:top w:val="single" w:color="auto" w:sz="4" w:space="0"/>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其他因素</w:t>
            </w:r>
          </w:p>
        </w:tc>
        <w:tc>
          <w:tcPr>
            <w:tcW w:w="851" w:type="dxa"/>
            <w:vMerge w:val="restart"/>
            <w:tcBorders>
              <w:top w:val="single" w:color="auto" w:sz="4" w:space="0"/>
              <w:left w:val="single" w:color="auto" w:sz="4" w:space="0"/>
              <w:right w:val="single" w:color="auto" w:sz="4" w:space="0"/>
            </w:tcBorders>
            <w:vAlign w:val="center"/>
          </w:tcPr>
          <w:p>
            <w:pPr>
              <w:pStyle w:val="7"/>
              <w:spacing w:line="160" w:lineRule="atLeast"/>
              <w:jc w:val="center"/>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25</w:t>
            </w:r>
            <w:r>
              <w:rPr>
                <w:rFonts w:hint="eastAsia" w:asciiTheme="minorEastAsia" w:hAnsiTheme="minorEastAsia" w:eastAsiaTheme="minorEastAsia"/>
                <w:color w:val="auto"/>
                <w:highlight w:val="none"/>
              </w:rPr>
              <w:t>分</w:t>
            </w:r>
          </w:p>
        </w:tc>
        <w:tc>
          <w:tcPr>
            <w:tcW w:w="1276" w:type="dxa"/>
            <w:vMerge w:val="restart"/>
            <w:tcBorders>
              <w:top w:val="single" w:color="auto" w:sz="4" w:space="0"/>
              <w:left w:val="single" w:color="auto" w:sz="4" w:space="0"/>
              <w:right w:val="single" w:color="auto" w:sz="4" w:space="0"/>
            </w:tcBorders>
            <w:vAlign w:val="center"/>
          </w:tcPr>
          <w:p>
            <w:pPr>
              <w:pStyle w:val="7"/>
              <w:spacing w:line="160" w:lineRule="atLeast"/>
              <w:ind w:right="-81"/>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企业业绩</w:t>
            </w:r>
          </w:p>
        </w:tc>
        <w:tc>
          <w:tcPr>
            <w:tcW w:w="607" w:type="dxa"/>
            <w:tcBorders>
              <w:top w:val="single" w:color="auto" w:sz="4" w:space="0"/>
              <w:left w:val="single" w:color="auto" w:sz="4" w:space="0"/>
              <w:bottom w:val="single" w:color="auto" w:sz="4" w:space="0"/>
              <w:right w:val="single" w:color="auto" w:sz="4" w:space="0"/>
            </w:tcBorders>
            <w:vAlign w:val="center"/>
          </w:tcPr>
          <w:p>
            <w:pPr>
              <w:pStyle w:val="7"/>
              <w:spacing w:line="160" w:lineRule="atLeast"/>
              <w:ind w:leftChars="-15" w:right="-71" w:rightChars="-34" w:hanging="30" w:hangingChars="15"/>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bottom w:val="single" w:color="auto" w:sz="4" w:space="0"/>
              <w:right w:val="single" w:color="auto" w:sz="4" w:space="0"/>
            </w:tcBorders>
            <w:vAlign w:val="center"/>
          </w:tcPr>
          <w:p>
            <w:pPr>
              <w:pStyle w:val="7"/>
              <w:spacing w:line="160" w:lineRule="atLeast"/>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满足附录2资格审查条件（业绩最低要求）的，得1</w:t>
            </w:r>
            <w:r>
              <w:rPr>
                <w:rFonts w:asciiTheme="minorEastAsia" w:hAnsiTheme="minorEastAsia" w:eastAsiaTheme="minorEastAsia"/>
                <w:color w:val="auto"/>
                <w:highlight w:val="none"/>
              </w:rPr>
              <w:t>5</w:t>
            </w:r>
            <w:r>
              <w:rPr>
                <w:rFonts w:hint="eastAsia" w:asciiTheme="minorEastAsia" w:hAnsiTheme="minorEastAsia" w:eastAsiaTheme="minor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846"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0"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1276"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olor w:val="auto"/>
                <w:szCs w:val="20"/>
                <w:highlight w:val="none"/>
              </w:rPr>
            </w:pPr>
          </w:p>
        </w:tc>
        <w:tc>
          <w:tcPr>
            <w:tcW w:w="607" w:type="dxa"/>
            <w:tcBorders>
              <w:top w:val="single" w:color="auto" w:sz="4" w:space="0"/>
              <w:left w:val="single" w:color="auto" w:sz="4" w:space="0"/>
              <w:right w:val="single" w:color="auto" w:sz="4" w:space="0"/>
            </w:tcBorders>
            <w:vAlign w:val="center"/>
          </w:tcPr>
          <w:p>
            <w:pPr>
              <w:pStyle w:val="7"/>
              <w:spacing w:line="160" w:lineRule="atLeast"/>
              <w:ind w:leftChars="-15" w:right="-71" w:rightChars="-34" w:hanging="30" w:hangingChars="15"/>
              <w:jc w:val="center"/>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0</w:t>
            </w:r>
            <w:r>
              <w:rPr>
                <w:rFonts w:hint="eastAsia" w:asciiTheme="minorEastAsia" w:hAnsiTheme="minorEastAsia" w:eastAsiaTheme="minorEastAsia"/>
                <w:color w:val="auto"/>
                <w:highlight w:val="none"/>
              </w:rPr>
              <w:t>分</w:t>
            </w:r>
          </w:p>
        </w:tc>
        <w:tc>
          <w:tcPr>
            <w:tcW w:w="5335" w:type="dxa"/>
            <w:gridSpan w:val="2"/>
            <w:tcBorders>
              <w:top w:val="single" w:color="auto" w:sz="4" w:space="0"/>
              <w:left w:val="single" w:color="auto" w:sz="4" w:space="0"/>
              <w:right w:val="single" w:color="auto" w:sz="4" w:space="0"/>
            </w:tcBorders>
            <w:vAlign w:val="center"/>
          </w:tcPr>
          <w:p>
            <w:pPr>
              <w:widowControl/>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在满足资格条件的基础上，</w:t>
            </w:r>
            <w:r>
              <w:rPr>
                <w:rFonts w:hint="eastAsia" w:cs="宋体" w:asciiTheme="minorEastAsia" w:hAnsiTheme="minorEastAsia" w:eastAsiaTheme="minorEastAsia"/>
                <w:color w:val="auto"/>
                <w:kern w:val="0"/>
                <w:szCs w:val="21"/>
                <w:highlight w:val="none"/>
              </w:rPr>
              <w:t>近5年（2020年7月1日至今，以交工时间为准）</w:t>
            </w:r>
            <w:r>
              <w:rPr>
                <w:rFonts w:hint="eastAsia" w:asciiTheme="minorEastAsia" w:hAnsiTheme="minorEastAsia" w:eastAsiaTheme="minorEastAsia"/>
                <w:color w:val="auto"/>
                <w:highlight w:val="none"/>
              </w:rPr>
              <w:t>每增加1项里程长度不少于20公里（或监理合同金额不少于2000万元）新建或改扩建高速公路主体工程（</w:t>
            </w:r>
            <w:r>
              <w:rPr>
                <w:rFonts w:hint="eastAsia" w:asciiTheme="minorEastAsia" w:hAnsiTheme="minorEastAsia" w:eastAsiaTheme="minorEastAsia"/>
                <w:color w:val="auto"/>
                <w:highlight w:val="none"/>
                <w:lang w:val="en-US" w:eastAsia="zh-CN"/>
              </w:rPr>
              <w:t>须同时</w:t>
            </w:r>
            <w:r>
              <w:rPr>
                <w:rFonts w:hint="eastAsia" w:asciiTheme="minorEastAsia" w:hAnsiTheme="minorEastAsia" w:eastAsiaTheme="minorEastAsia"/>
                <w:color w:val="auto"/>
                <w:highlight w:val="none"/>
              </w:rPr>
              <w:t>包含路基、路面</w:t>
            </w:r>
            <w:r>
              <w:rPr>
                <w:rFonts w:hint="eastAsia" w:asciiTheme="minorEastAsia" w:hAnsiTheme="minorEastAsia" w:eastAsiaTheme="minorEastAsia"/>
                <w:color w:val="auto"/>
                <w:kern w:val="0"/>
                <w:highlight w:val="none"/>
              </w:rPr>
              <w:t>、特大桥工程</w:t>
            </w:r>
            <w:r>
              <w:rPr>
                <w:rFonts w:hint="eastAsia" w:asciiTheme="minorEastAsia" w:hAnsiTheme="minorEastAsia" w:eastAsiaTheme="minorEastAsia"/>
                <w:color w:val="auto"/>
                <w:highlight w:val="none"/>
              </w:rPr>
              <w:t>）施工监理业绩加2.5分，本项最多加10分。</w:t>
            </w:r>
          </w:p>
        </w:tc>
      </w:tr>
    </w:tbl>
    <w:p>
      <w:pPr>
        <w:pStyle w:val="4"/>
        <w:keepNext w:val="0"/>
        <w:keepLines w:val="0"/>
        <w:pageBreakBefore w:val="0"/>
        <w:widowControl w:val="0"/>
        <w:tabs>
          <w:tab w:val="left" w:pos="5138"/>
        </w:tabs>
        <w:kinsoku/>
        <w:wordWrap/>
        <w:overflowPunct/>
        <w:topLinePunct w:val="0"/>
        <w:autoSpaceDE/>
        <w:autoSpaceDN/>
        <w:bidi w:val="0"/>
        <w:adjustRightInd/>
        <w:snapToGrid w:val="0"/>
        <w:spacing w:after="0" w:line="288" w:lineRule="auto"/>
        <w:jc w:val="left"/>
        <w:rPr>
          <w:rFonts w:ascii="宋体" w:hAnsi="宋体"/>
          <w:b/>
          <w:bCs/>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1、</w:t>
      </w:r>
      <w:r>
        <w:rPr>
          <w:rFonts w:hint="eastAsia" w:hAnsi="宋体"/>
          <w:color w:val="auto"/>
          <w:highlight w:val="none"/>
        </w:rPr>
        <w:t>技术建议书</w:t>
      </w:r>
      <w:r>
        <w:rPr>
          <w:rFonts w:hint="eastAsia" w:ascii="宋体" w:hAnsi="宋体"/>
          <w:color w:val="auto"/>
          <w:sz w:val="21"/>
          <w:szCs w:val="21"/>
          <w:highlight w:val="none"/>
        </w:rPr>
        <w:t>各</w:t>
      </w:r>
      <w:r>
        <w:rPr>
          <w:rFonts w:hint="eastAsia" w:hAnsi="宋体"/>
          <w:color w:val="auto"/>
          <w:sz w:val="21"/>
          <w:szCs w:val="21"/>
          <w:highlight w:val="none"/>
          <w:lang w:val="en-US" w:eastAsia="zh-CN"/>
        </w:rPr>
        <w:t>细分项</w:t>
      </w:r>
      <w:r>
        <w:rPr>
          <w:rFonts w:hint="eastAsia" w:ascii="宋体" w:hAnsi="宋体"/>
          <w:color w:val="auto"/>
          <w:sz w:val="21"/>
          <w:szCs w:val="21"/>
          <w:highlight w:val="none"/>
        </w:rPr>
        <w:t>缺项则该项得0分。</w:t>
      </w:r>
    </w:p>
    <w:p>
      <w:pPr>
        <w:pStyle w:val="7"/>
        <w:ind w:firstLine="420" w:firstLineChars="200"/>
        <w:textAlignment w:val="baseline"/>
        <w:rPr>
          <w:rFonts w:hint="eastAsia" w:hAnsi="宋体" w:eastAsia="宋体"/>
          <w:color w:val="auto"/>
          <w:highlight w:val="none"/>
          <w:lang w:val="en-US" w:eastAsia="zh-CN"/>
        </w:rPr>
      </w:pPr>
      <w:r>
        <w:rPr>
          <w:rFonts w:hint="eastAsia" w:hAnsi="宋体"/>
          <w:color w:val="auto"/>
          <w:sz w:val="21"/>
          <w:szCs w:val="21"/>
          <w:highlight w:val="none"/>
          <w:lang w:val="en-US" w:eastAsia="zh-CN"/>
        </w:rPr>
        <w:t>2</w:t>
      </w:r>
      <w:r>
        <w:rPr>
          <w:rFonts w:hint="eastAsia" w:hAnsi="宋体"/>
          <w:color w:val="auto"/>
          <w:sz w:val="21"/>
          <w:szCs w:val="21"/>
          <w:highlight w:val="none"/>
        </w:rPr>
        <w:t>、各评分因素</w:t>
      </w:r>
      <w:r>
        <w:rPr>
          <w:rFonts w:hint="eastAsia" w:hAnsi="宋体"/>
          <w:color w:val="auto"/>
          <w:sz w:val="21"/>
          <w:szCs w:val="21"/>
          <w:highlight w:val="none"/>
          <w:lang w:val="en-US" w:eastAsia="zh-CN"/>
        </w:rPr>
        <w:t>细分项</w:t>
      </w:r>
      <w:r>
        <w:rPr>
          <w:rFonts w:hint="eastAsia" w:hAnsi="宋体"/>
          <w:color w:val="auto"/>
          <w:sz w:val="21"/>
          <w:szCs w:val="21"/>
          <w:highlight w:val="none"/>
        </w:rPr>
        <w:t>评标委员会各成员</w:t>
      </w:r>
      <w:r>
        <w:rPr>
          <w:rFonts w:hint="eastAsia" w:hAnsi="宋体"/>
          <w:color w:val="auto"/>
          <w:sz w:val="21"/>
          <w:szCs w:val="21"/>
          <w:highlight w:val="none"/>
          <w:lang w:val="en-US" w:eastAsia="zh-CN"/>
        </w:rPr>
        <w:t>打分保留1位小数，</w:t>
      </w:r>
      <w:r>
        <w:rPr>
          <w:rFonts w:hint="eastAsia" w:hAnsi="宋体"/>
          <w:color w:val="auto"/>
          <w:sz w:val="21"/>
          <w:szCs w:val="21"/>
          <w:highlight w:val="none"/>
        </w:rPr>
        <w:t>汇总得分以打分平均值确定，保留小数点后两位</w:t>
      </w:r>
      <w:r>
        <w:rPr>
          <w:rFonts w:hint="eastAsia" w:hAnsi="宋体"/>
          <w:color w:val="auto"/>
          <w:sz w:val="21"/>
          <w:szCs w:val="21"/>
          <w:highlight w:val="none"/>
          <w:lang w:eastAsia="zh-CN"/>
        </w:rPr>
        <w:t>，</w:t>
      </w:r>
      <w:r>
        <w:rPr>
          <w:rFonts w:hint="eastAsia" w:hAnsi="宋体"/>
          <w:color w:val="auto"/>
          <w:sz w:val="21"/>
          <w:szCs w:val="21"/>
          <w:highlight w:val="none"/>
        </w:rPr>
        <w:t>小数点后</w:t>
      </w:r>
      <w:r>
        <w:rPr>
          <w:rFonts w:hint="eastAsia" w:hAnsi="宋体"/>
          <w:color w:val="auto"/>
          <w:sz w:val="21"/>
          <w:szCs w:val="21"/>
          <w:highlight w:val="none"/>
          <w:lang w:val="en-US" w:eastAsia="zh-CN"/>
        </w:rPr>
        <w:t>第3位四舍五入</w:t>
      </w:r>
      <w:r>
        <w:rPr>
          <w:rFonts w:hint="eastAsia" w:hAnsi="宋体"/>
          <w:color w:val="auto"/>
          <w:sz w:val="21"/>
          <w:szCs w:val="21"/>
          <w:highlight w:val="none"/>
        </w:rPr>
        <w:t>。</w:t>
      </w:r>
      <w:r>
        <w:rPr>
          <w:rFonts w:hint="eastAsia" w:hAnsi="宋体"/>
          <w:color w:val="auto"/>
          <w:highlight w:val="none"/>
          <w:lang w:val="en-US" w:eastAsia="zh-CN"/>
        </w:rPr>
        <w:t xml:space="preserve"> </w:t>
      </w:r>
    </w:p>
    <w:bookmarkEnd w:id="3"/>
    <w:p>
      <w:pPr>
        <w:rPr>
          <w:color w:val="auto"/>
          <w:highlight w:val="none"/>
        </w:rPr>
      </w:pPr>
    </w:p>
    <w:p>
      <w:pPr>
        <w:widowControl/>
        <w:jc w:val="left"/>
        <w:rPr>
          <w:rFonts w:hint="eastAsia" w:eastAsia="宋体"/>
          <w:lang w:val="en-US" w:eastAsia="zh-CN"/>
        </w:rPr>
      </w:pPr>
    </w:p>
    <w:sectPr>
      <w:headerReference r:id="rId3" w:type="default"/>
      <w:footerReference r:id="rId4" w:type="default"/>
      <w:pgSz w:w="11906" w:h="16838"/>
      <w:pgMar w:top="1418" w:right="1361" w:bottom="1361" w:left="141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 PAGE   \* MERGEFORMAT </w:instrText>
    </w:r>
    <w:r>
      <w:fldChar w:fldCharType="separate"/>
    </w:r>
    <w:r>
      <w:rPr>
        <w:lang w:val="zh-CN"/>
      </w:rP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jc w:val="right"/>
      <w:rPr>
        <w:rFonts w:ascii="宋体" w:hAnsi="宋体"/>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9F63C86"/>
    <w:rsid w:val="0C426528"/>
    <w:rsid w:val="36674D51"/>
    <w:rsid w:val="3ADF3C25"/>
    <w:rsid w:val="4AD124CC"/>
    <w:rsid w:val="79F6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Document Map"/>
    <w:basedOn w:val="1"/>
    <w:qFormat/>
    <w:uiPriority w:val="99"/>
    <w:pPr>
      <w:shd w:val="clear" w:color="auto" w:fill="000080"/>
    </w:pPr>
  </w:style>
  <w:style w:type="paragraph" w:styleId="4">
    <w:name w:val="Body Text"/>
    <w:basedOn w:val="1"/>
    <w:next w:val="5"/>
    <w:qFormat/>
    <w:uiPriority w:val="99"/>
    <w:pPr>
      <w:spacing w:after="120" w:afterLines="0"/>
    </w:pPr>
  </w:style>
  <w:style w:type="paragraph" w:styleId="5">
    <w:name w:val="Body Text 2"/>
    <w:basedOn w:val="1"/>
    <w:qFormat/>
    <w:uiPriority w:val="0"/>
    <w:pPr>
      <w:spacing w:line="540" w:lineRule="exact"/>
    </w:pPr>
    <w:rPr>
      <w:color w:val="FF0000"/>
    </w:r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rPr>
      <w:rFonts w:ascii="宋体" w:hAnsi="Courier New"/>
      <w:kern w:val="0"/>
      <w:sz w:val="20"/>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semiHidden/>
    <w:unhideWhenUsed/>
    <w:qFormat/>
    <w:uiPriority w:val="99"/>
    <w:pPr>
      <w:ind w:firstLine="420" w:firstLineChars="200"/>
    </w:pPr>
  </w:style>
  <w:style w:type="character" w:customStyle="1" w:styleId="13">
    <w:name w:val="NormalCharacter"/>
    <w:autoRedefine/>
    <w:qFormat/>
    <w:uiPriority w:val="0"/>
  </w:style>
  <w:style w:type="paragraph" w:customStyle="1" w:styleId="14">
    <w:name w:val="UserStyle_340"/>
    <w:basedOn w:val="1"/>
    <w:autoRedefine/>
    <w:qFormat/>
    <w:uiPriority w:val="0"/>
    <w:pPr>
      <w:widowControl/>
      <w:spacing w:line="340" w:lineRule="exact"/>
      <w:jc w:val="center"/>
    </w:pPr>
    <w:rPr>
      <w:rFonts w:ascii="宋体" w:hAnsi="Calibri"/>
      <w:bCs/>
      <w:color w:val="000000"/>
      <w:kern w:val="0"/>
      <w:szCs w:val="21"/>
    </w:rPr>
  </w:style>
  <w:style w:type="character" w:customStyle="1" w:styleId="15">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2025-08-04T02:49:00Z</dcterms:created>
  <dc:creator>赵凌云</dc:creator>
  <cp:lastModifiedBy>赵凌云</cp:lastModifiedBy>
  <dcterms:modified xsi:type="dcterms:W3CDTF">2025-08-04T02:59:11Z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8CE99FE714764B869C0DEC487A536370_13</vt:lpwstr>
  </property>
</Properties>
</file>