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b/>
          <w:sz w:val="24"/>
        </w:rPr>
        <w:t>附件2：</w:t>
      </w:r>
      <w:r>
        <w:rPr>
          <w:rFonts w:hint="eastAsia" w:ascii="宋体" w:hAnsi="宋体" w:cs="黑体"/>
          <w:b/>
          <w:spacing w:val="3"/>
          <w:kern w:val="0"/>
          <w:sz w:val="24"/>
        </w:rPr>
        <w:t>评标办法</w:t>
      </w:r>
    </w:p>
    <w:p>
      <w:pPr>
        <w:autoSpaceDE w:val="0"/>
        <w:autoSpaceDN w:val="0"/>
        <w:adjustRightInd w:val="0"/>
        <w:spacing w:line="336" w:lineRule="exact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评标办法前附表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026"/>
        <w:gridCol w:w="68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8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left="9" w:right="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条款号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left="9" w:right="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条款名称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left="9" w:right="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评审因素与评审标准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评标办法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288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次评标采用综合评估法。评标委员会对满足招标文件实质性要求的投标文件，按照本评标办法第2.2款规定的评分标准进行打分，并按得分由高到低顺序推荐1-3名中标候选人。综合评分相等时，评标委员会依次按照以下优先顺序推荐中标候选人：</w:t>
            </w:r>
          </w:p>
          <w:p>
            <w:pPr>
              <w:spacing w:line="288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（1）评标价低的投标人优先；</w:t>
            </w:r>
          </w:p>
          <w:p>
            <w:pPr>
              <w:spacing w:line="288" w:lineRule="auto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（2）技术服务建议书得分较高的投标人优先；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 w:hRule="atLeast"/>
        </w:trPr>
        <w:tc>
          <w:tcPr>
            <w:tcW w:w="68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2.1.1</w:t>
            </w:r>
          </w:p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2.1.3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形式评审与响应性评审标准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（1）投标文件上法定代表人或其委托代理人的签字、投标人的单位盖章齐全，符合招标文件规定。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（2）投标文件按照招标文件规定的格式、内容填写，字迹清晰可辨：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a．投标函按招标文件规定填报了</w:t>
            </w:r>
            <w:r>
              <w:rPr>
                <w:rFonts w:hint="eastAsia" w:ascii="宋体" w:hAnsi="宋体" w:cs="宋体"/>
                <w:szCs w:val="21"/>
              </w:rPr>
              <w:t>补遗书编号（如有）、项目负责人姓名及职称、投标报价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b．投标文件组成齐全完整，内容均按规定填写。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（3）投标人按照招标文件的规定提供了投标保证金：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a.投标保证金金额符合招标文件规定的金额，且投标保证金有效期不少于投标有效期；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b.若投标保证金采用电汇或转账形式提交，投标人应在递交投标文件截止时间之前，将投标保证金由投标人的基本账户转入招标人指定账户；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c.若投标保证金采用银行保函形式提交，</w:t>
            </w: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投标人应</w:t>
            </w:r>
            <w:r>
              <w:rPr>
                <w:rFonts w:hint="eastAsia" w:ascii="宋体" w:hAnsi="宋体" w:cs="宋体"/>
                <w:spacing w:val="-4"/>
                <w:szCs w:val="21"/>
              </w:rPr>
              <w:t>满足招标文件要求；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d．若投标保证金采用保证保险或担保保函形式提交，投标人应满足招标文件要求。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（4）投标人法定代表人的授权委托代理人签署投标文件的，需提交授权委托书，且符合招标文件规定。</w:t>
            </w:r>
          </w:p>
          <w:p>
            <w:pPr>
              <w:tabs>
                <w:tab w:val="left" w:pos="3060"/>
              </w:tabs>
              <w:spacing w:line="480" w:lineRule="exact"/>
              <w:ind w:firstLine="202" w:firstLineChars="100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（5）投标人法定代表人亲自签署投标文件的，需提交法定代表人身份证明，且符合招标文件规定。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（6）本项目不接受联合体形式投标。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</w:t>
            </w: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）同一投标人对同一标段未提交两个以上不同的投标文件。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</w:t>
            </w: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pacing w:val="-4"/>
                <w:szCs w:val="21"/>
              </w:rPr>
              <w:t xml:space="preserve">）投标文件载明的招标项目完成期限满足招标文件规定的时限。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</w:t>
            </w: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4"/>
                <w:szCs w:val="21"/>
              </w:rPr>
              <w:t xml:space="preserve">）投标文件对招标文件的实质性要求和条件作出响应。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（1</w:t>
            </w: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pacing w:val="-4"/>
                <w:szCs w:val="21"/>
              </w:rPr>
              <w:t xml:space="preserve">）权利义务符合招标文件规定：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a.投标人应接受招标文件规定的风险划分原则，未提出新的风险划分办法；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b.投标人未增加委托人的责任范围，或减少投标人义务；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c.投标人未提出不同的支付办法；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d.投标人对合同纠纷、事故处理办法未提出异议；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e.投标人在投标活动中无欺诈行为；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f.投标人未对合同条款有重要保留。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（12）投标报价未超过本标段设定的最高投标限价</w:t>
            </w:r>
            <w:r>
              <w:rPr>
                <w:rFonts w:hint="eastAsia" w:ascii="宋体" w:hAnsi="宋体" w:cs="宋体"/>
                <w:spacing w:val="-4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且报价符合招标文件要求</w:t>
            </w:r>
            <w:r>
              <w:rPr>
                <w:rFonts w:hint="eastAsia" w:ascii="宋体" w:hAnsi="宋体" w:cs="宋体"/>
                <w:spacing w:val="-4"/>
                <w:szCs w:val="21"/>
              </w:rPr>
              <w:t xml:space="preserve">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（13）投标报价的大写金额能够确定具体数值。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（14）同一投标人未提交两个以上不同的投标报价。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资格评审标准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（1）投标人具备有效的营业执照；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（2）投标人的类似项目业绩符合招标文件规定；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（3）投标人的人员资格符合招标文件规定；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 xml:space="preserve">（4）投标人的信誉符合招标文件规定；  </w:t>
            </w:r>
          </w:p>
          <w:p>
            <w:pPr>
              <w:spacing w:line="440" w:lineRule="exact"/>
              <w:ind w:left="210" w:leftChars="100" w:right="210" w:right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（5）投标人不存在第二章“投标人须知”第1.4.3项或第1.4.4项规定的任何一种情形；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分值构成</w:t>
            </w:r>
          </w:p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（总分100分）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288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评分分值构成：</w:t>
            </w:r>
          </w:p>
          <w:p>
            <w:pPr>
              <w:spacing w:line="288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报价：10分</w:t>
            </w:r>
          </w:p>
          <w:p>
            <w:pPr>
              <w:spacing w:line="288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主要人员配备情况：15分</w:t>
            </w:r>
          </w:p>
          <w:p>
            <w:pPr>
              <w:spacing w:line="288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类似业绩：30分</w:t>
            </w:r>
          </w:p>
          <w:p>
            <w:pPr>
              <w:spacing w:line="288" w:lineRule="auto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技术建议书：45分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8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2.2.2</w:t>
            </w:r>
          </w:p>
        </w:tc>
        <w:tc>
          <w:tcPr>
            <w:tcW w:w="10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评标基准价的计算</w:t>
            </w:r>
          </w:p>
        </w:tc>
        <w:tc>
          <w:tcPr>
            <w:tcW w:w="6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通过资格后审和初步评审，且投标报价小于等于最高限价的投标报价为有效投标报价。</w:t>
            </w:r>
          </w:p>
          <w:p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当有效投标报价大于10家时（不含10家），去掉所有有效报价中2个最高报价和2个最低报价，其余有效报价的算术平均值为该项报价的评标基准值；</w:t>
            </w:r>
          </w:p>
          <w:p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当有效投标报价大于5家时（不含5家）小于10家（含10家）时，去掉所有有效报价中1个最高报价和1个最低报价，其余有效报价的算术平均值为该项报价的评标基准值；</w:t>
            </w:r>
          </w:p>
          <w:p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当有效投标报价小于5家时（含5家），不再去掉最高和最低报价，所有有效报价的算术平均值为该项报价的评标基准值。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6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3.3.1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投标文件相关信息的核查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44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评标过程中，评标委员会应查询“国家企业信用信息公示系统”和“信用中国”网站，对投标人的信用情况进行核实，若投标人存在“国家企业信用信息公示系统”被列入严重违法失信企业名单（不含分公司）或在“信用中国”网站被列入失信被执行人名单（点击“失信被执行人”跳转页面“中国执行信息公开网”（https://zxgk.court.gov.cn/shixin/）查询）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经营（活动）异常名录</w:t>
            </w:r>
            <w:r>
              <w:rPr>
                <w:rFonts w:hint="eastAsia" w:ascii="宋体" w:hAnsi="宋体" w:cs="宋体"/>
                <w:szCs w:val="21"/>
              </w:rPr>
              <w:t>、重大税收违法失信主体、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政府采购严重违法失信行为记录名单</w:t>
            </w:r>
            <w:r>
              <w:rPr>
                <w:rFonts w:hint="eastAsia" w:ascii="宋体" w:hAnsi="宋体" w:cs="宋体"/>
                <w:szCs w:val="21"/>
              </w:rPr>
              <w:t>（均不含分公司）”情形的，评标委员会应否决其投标。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若投标文件载明的信息与上述网站发布的信息不符，使得投标人的资格条件不符合招标文件规定的，评标委员会应否决其投标。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 xml:space="preserve">投标人名称和资质与“公路水运工程质量检测管理信息系统（https://www.ttiis.cn/）”的复核结果一致；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597" w:type="dxa"/>
            <w:gridSpan w:val="3"/>
            <w:noWrap w:val="0"/>
            <w:vAlign w:val="center"/>
          </w:tcPr>
          <w:p>
            <w:pPr>
              <w:spacing w:line="44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需要补充的其他内容：无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</w:p>
    <w:p>
      <w:pPr>
        <w:autoSpaceDE w:val="0"/>
        <w:autoSpaceDN w:val="0"/>
        <w:spacing w:line="288" w:lineRule="auto"/>
        <w:ind w:right="11"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续</w:t>
      </w:r>
      <w:r>
        <w:rPr>
          <w:rFonts w:ascii="宋体" w:hAnsi="宋体" w:cs="宋体"/>
          <w:kern w:val="0"/>
          <w:szCs w:val="21"/>
        </w:rPr>
        <w:t>上表</w:t>
      </w:r>
    </w:p>
    <w:tbl>
      <w:tblPr>
        <w:tblStyle w:val="6"/>
        <w:tblW w:w="8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41"/>
        <w:gridCol w:w="691"/>
        <w:gridCol w:w="1161"/>
        <w:gridCol w:w="753"/>
        <w:gridCol w:w="51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59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条款号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评分因素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评分因素权重分值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各评分因素</w:t>
            </w:r>
          </w:p>
          <w:p>
            <w:pPr>
              <w:spacing w:line="28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细分项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2.2.4（1）</w:t>
            </w:r>
          </w:p>
          <w:p>
            <w:pPr>
              <w:autoSpaceDE w:val="0"/>
              <w:autoSpaceDN w:val="0"/>
              <w:spacing w:line="288" w:lineRule="auto"/>
              <w:ind w:right="11"/>
              <w:jc w:val="center"/>
            </w:pPr>
          </w:p>
          <w:p>
            <w:pPr>
              <w:pStyle w:val="3"/>
            </w:pP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技术建议书（暗标）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/>
              </w:rPr>
              <w:t>对本招标项目工作范围和任务理解(10分)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10分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理解准确，思路清晰，全面、合理，符合项目要求，得8.0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-10.0分；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理解较准确，思路较清晰，得6.0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-8.0分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理解基本准确，得6.0分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3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/>
              </w:rPr>
              <w:t>试验检测工作方案及措施（15分）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15分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方案详尽，措施具体全面合理，可行性强，得12.0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-15.0分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方案较详尽，措施合理，可行性较好，得9.0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-12.0分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方案一般，措施基本全面，可行性一般，得9.0分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3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pStyle w:val="5"/>
              <w:spacing w:line="276" w:lineRule="auto"/>
              <w:jc w:val="center"/>
              <w:textAlignment w:val="baseline"/>
              <w:rPr>
                <w:rFonts w:hint="eastAsia" w:hAnsi="宋体"/>
              </w:rPr>
            </w:pPr>
            <w:r>
              <w:rPr>
                <w:rFonts w:hint="eastAsia" w:hAnsi="宋体"/>
              </w:rPr>
              <w:t>试验检测工</w:t>
            </w:r>
          </w:p>
          <w:p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/>
              </w:rPr>
              <w:t>作程序(10分)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10分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内容齐全，阶段划分合理、正确，可实施性强，得8.0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-10.0分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内容较齐全，阶段划分较合理，可实施性较好，得6.0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-8.0分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 xml:space="preserve">内容基本齐全，阶段划分基本合理，可实施性一般，得6.0分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3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/>
              </w:rPr>
              <w:t>本工程试验检测工作的重点与难点分析(5分)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5分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分析透彻，对难点、重点把握准确；处理措施科学合理，有效可行，得4.0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-5.0分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分析较透彻，对难点、重点把握较准确；处理措施合理，可行，得3.0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-4.0分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分析一般，对难点、重点把握一般；处理措施基本合理，基本可行，得3.0分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pStyle w:val="3"/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3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pStyle w:val="5"/>
              <w:tabs>
                <w:tab w:val="left" w:pos="5380"/>
              </w:tabs>
              <w:spacing w:line="276" w:lineRule="auto"/>
              <w:ind w:left="-99" w:leftChars="-47" w:right="-111" w:rightChars="-53"/>
              <w:jc w:val="center"/>
              <w:textAlignment w:val="baseline"/>
              <w:rPr>
                <w:rFonts w:hint="eastAsia" w:hAnsi="宋体"/>
              </w:rPr>
            </w:pPr>
            <w:r>
              <w:rPr>
                <w:rFonts w:hint="eastAsia" w:hAnsi="宋体"/>
              </w:rPr>
              <w:t>对本工程的建议(5分)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5分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建议措施具体全面、可靠、合理，可实施性强，4.0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-5.0分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建议措施全面、合理，可实施性较好，得3.0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Cs w:val="21"/>
              </w:rPr>
              <w:t>-4.0分</w:t>
            </w:r>
          </w:p>
          <w:p>
            <w:pPr>
              <w:pStyle w:val="5"/>
              <w:ind w:left="105" w:leftChars="50" w:right="105" w:rightChars="5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建议措施基本全面、合理，可实施性一般，得3.0分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2.2.4（2）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主要人员配备情况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15分</w:t>
            </w:r>
          </w:p>
        </w:tc>
        <w:tc>
          <w:tcPr>
            <w:tcW w:w="71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满足资格审查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条件（项目负责人最低要求）</w:t>
            </w:r>
            <w:r>
              <w:rPr>
                <w:rFonts w:hint="eastAsia" w:hAnsi="宋体"/>
                <w:color w:val="auto"/>
                <w:szCs w:val="21"/>
              </w:rPr>
              <w:t>得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hAnsi="宋体"/>
                <w:color w:val="auto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int="default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在满足资格审查条件的基础上：项目负责人每增加担任过1项新建或改扩建高速公路中心试验室的项目负责人（中心试验室主任）或技术负责人（中心试验室副主任）加6分，本项最多加6分。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59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2.2.4（3）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ind w:right="1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10分</w:t>
            </w:r>
          </w:p>
        </w:tc>
        <w:tc>
          <w:tcPr>
            <w:tcW w:w="71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right="-506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当投标报价等于评标基准值时得</w:t>
            </w:r>
            <w:r>
              <w:rPr>
                <w:rFonts w:hAnsi="宋体" w:cs="宋体"/>
                <w:color w:val="auto"/>
                <w:szCs w:val="21"/>
              </w:rPr>
              <w:t>1</w:t>
            </w:r>
            <w:r>
              <w:rPr>
                <w:rFonts w:hint="eastAsia" w:hAnsi="宋体" w:cs="宋体"/>
                <w:color w:val="auto"/>
                <w:szCs w:val="21"/>
              </w:rPr>
              <w:t>0分；</w:t>
            </w:r>
          </w:p>
          <w:p>
            <w:pPr>
              <w:spacing w:line="520" w:lineRule="exact"/>
              <w:ind w:right="-506"/>
              <w:rPr>
                <w:rFonts w:hint="eastAsia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投标报价每比评标基准值高1个百分点减0.2分</w:t>
            </w:r>
            <w:r>
              <w:rPr>
                <w:rFonts w:hint="eastAsia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spacing w:line="520" w:lineRule="exact"/>
              <w:ind w:right="-506"/>
              <w:rPr>
                <w:rFonts w:hint="eastAsia" w:hAnsi="宋体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投标报价每比评标基准值低1个百分点减0.1分</w:t>
            </w:r>
            <w:r>
              <w:rPr>
                <w:rFonts w:hint="eastAsia" w:hAnsi="宋体" w:cs="宋体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hAnsi="宋体" w:cs="宋体"/>
                <w:color w:val="auto"/>
                <w:szCs w:val="21"/>
              </w:rPr>
              <w:t>减完为止。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2.2.4（4）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30分</w:t>
            </w:r>
          </w:p>
        </w:tc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企业业绩</w:t>
            </w:r>
          </w:p>
        </w:tc>
        <w:tc>
          <w:tcPr>
            <w:tcW w:w="51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ind w:left="105" w:leftChars="50" w:right="105" w:rightChars="50"/>
              <w:jc w:val="left"/>
              <w:rPr>
                <w:rFonts w:hint="eastAsia"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满足资格审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查条件(业绩最低要求)得18分；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288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textAlignment w:val="baseline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在满足资格审查条件的基础上：</w:t>
            </w:r>
          </w:p>
          <w:p>
            <w:pPr>
              <w:pStyle w:val="5"/>
              <w:spacing w:line="276" w:lineRule="auto"/>
              <w:textAlignment w:val="baseline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（1）近5年内（2020年</w:t>
            </w:r>
            <w:r>
              <w:rPr>
                <w:rFonts w:hint="eastAsia" w:hAnsi="宋体"/>
                <w:color w:val="auto"/>
                <w:lang w:val="en-US" w:eastAsia="zh-CN"/>
              </w:rPr>
              <w:t>6</w:t>
            </w:r>
            <w:r>
              <w:rPr>
                <w:rFonts w:hint="eastAsia" w:hAnsi="宋体"/>
                <w:color w:val="auto"/>
              </w:rPr>
              <w:t>月1日至今，以合同签订时间为准），每独立承担过1项新建或改扩建高速公路</w:t>
            </w:r>
            <w:r>
              <w:rPr>
                <w:rFonts w:hint="eastAsia" w:hAnsi="宋体"/>
                <w:color w:val="auto"/>
                <w:lang w:val="en-US" w:eastAsia="zh-CN"/>
              </w:rPr>
              <w:t>建设单位</w:t>
            </w:r>
            <w:r>
              <w:rPr>
                <w:rFonts w:hint="eastAsia" w:hAnsi="宋体"/>
                <w:color w:val="auto"/>
              </w:rPr>
              <w:t>中心试验室</w:t>
            </w:r>
            <w:r>
              <w:rPr>
                <w:rFonts w:hAnsi="宋体"/>
                <w:color w:val="auto"/>
              </w:rPr>
              <w:t>业绩</w:t>
            </w:r>
            <w:r>
              <w:rPr>
                <w:rFonts w:hint="eastAsia" w:hAnsi="宋体"/>
                <w:color w:val="auto"/>
              </w:rPr>
              <w:t>加3分，本项最多加9分。</w:t>
            </w:r>
          </w:p>
          <w:p>
            <w:pPr>
              <w:pStyle w:val="10"/>
              <w:ind w:firstLine="0" w:firstLineChars="0"/>
              <w:rPr>
                <w:rFonts w:hAnsi="宋体" w:cs="宋体"/>
                <w:color w:val="auto"/>
              </w:rPr>
            </w:pPr>
            <w:r>
              <w:rPr>
                <w:color w:val="auto"/>
              </w:rPr>
              <w:t>（2）</w:t>
            </w:r>
            <w:r>
              <w:rPr>
                <w:rFonts w:hint="eastAsia"/>
                <w:color w:val="auto"/>
              </w:rPr>
              <w:t>近5年内（2020年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月1日至今，以合同签订时间为准），每独立承担过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项新建或改扩建高速公路土建工程交工检测业绩加1分，本项最多加3分。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AD55849"/>
    <w:rsid w:val="11877731"/>
    <w:rsid w:val="12A85BB1"/>
    <w:rsid w:val="18B84674"/>
    <w:rsid w:val="1952091A"/>
    <w:rsid w:val="1C0D4CD7"/>
    <w:rsid w:val="1DAB47A7"/>
    <w:rsid w:val="1F8E612F"/>
    <w:rsid w:val="21515666"/>
    <w:rsid w:val="23767606"/>
    <w:rsid w:val="244F40DF"/>
    <w:rsid w:val="2A6E1037"/>
    <w:rsid w:val="2AD55849"/>
    <w:rsid w:val="31DB5204"/>
    <w:rsid w:val="32A001FB"/>
    <w:rsid w:val="351A4295"/>
    <w:rsid w:val="38F60B75"/>
    <w:rsid w:val="38FF1191"/>
    <w:rsid w:val="39E135D3"/>
    <w:rsid w:val="3FFD0A3B"/>
    <w:rsid w:val="46690BD8"/>
    <w:rsid w:val="482F7BFF"/>
    <w:rsid w:val="4B490FD8"/>
    <w:rsid w:val="4D357A66"/>
    <w:rsid w:val="52D4387D"/>
    <w:rsid w:val="52E10304"/>
    <w:rsid w:val="52FC2DD4"/>
    <w:rsid w:val="53456529"/>
    <w:rsid w:val="5C71038F"/>
    <w:rsid w:val="60F35816"/>
    <w:rsid w:val="66091638"/>
    <w:rsid w:val="69BF098B"/>
    <w:rsid w:val="6A933BC6"/>
    <w:rsid w:val="6D9739CD"/>
    <w:rsid w:val="769211D6"/>
    <w:rsid w:val="79EC2A16"/>
    <w:rsid w:val="7A036672"/>
    <w:rsid w:val="7B14665D"/>
    <w:rsid w:val="7C343BD5"/>
    <w:rsid w:val="7FD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Times New Roman"/>
    </w:rPr>
  </w:style>
  <w:style w:type="paragraph" w:styleId="4">
    <w:name w:val="Body Text 2"/>
    <w:basedOn w:val="1"/>
    <w:qFormat/>
    <w:uiPriority w:val="0"/>
    <w:rPr>
      <w:rFonts w:ascii="宋体" w:hAnsi="宋体" w:eastAsia="Times New Roman"/>
      <w:sz w:val="28"/>
    </w:rPr>
  </w:style>
  <w:style w:type="paragraph" w:styleId="5">
    <w:name w:val="Plain Text"/>
    <w:basedOn w:val="1"/>
    <w:qFormat/>
    <w:uiPriority w:val="99"/>
    <w:rPr>
      <w:rFonts w:ascii="宋体" w:hAnsi="Courier New"/>
      <w:szCs w:val="20"/>
    </w:rPr>
  </w:style>
  <w:style w:type="character" w:customStyle="1" w:styleId="8">
    <w:name w:val="无"/>
    <w:autoRedefine/>
    <w:qFormat/>
    <w:uiPriority w:val="0"/>
  </w:style>
  <w:style w:type="character" w:customStyle="1" w:styleId="9">
    <w:name w:val="NormalCharacter"/>
    <w:qFormat/>
    <w:uiPriority w:val="0"/>
  </w:style>
  <w:style w:type="paragraph" w:customStyle="1" w:styleId="10">
    <w:name w:val="UserStyle_340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Calibri"/>
      <w:bCs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2025-07-02T02:39:00Z</dcterms:created>
  <dc:creator>赵凌云</dc:creator>
  <cp:lastModifiedBy>赵凌云</cp:lastModifiedBy>
  <dcterms:modified xsi:type="dcterms:W3CDTF">2025-07-02T02:47:55Z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D61FFB74A2204BE69665BC29860A459E_13</vt:lpwstr>
  </property>
</Properties>
</file>