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rPr>
          <w:rFonts w:hint="eastAsia" w:ascii="宋体" w:hAnsi="宋体" w:cs="宋体"/>
          <w:b/>
          <w:bCs/>
          <w:color w:val="auto"/>
          <w:sz w:val="28"/>
          <w:szCs w:val="28"/>
        </w:rPr>
      </w:pPr>
      <w:r>
        <w:rPr>
          <w:rFonts w:hint="eastAsia" w:ascii="宋体" w:hAnsi="宋体" w:cs="宋体"/>
          <w:b/>
          <w:bCs/>
          <w:color w:val="auto"/>
          <w:sz w:val="28"/>
          <w:szCs w:val="28"/>
        </w:rPr>
        <w:t>附件1：资格审查条件</w:t>
      </w:r>
    </w:p>
    <w:p>
      <w:pPr>
        <w:adjustRightInd w:val="0"/>
        <w:spacing w:line="400" w:lineRule="exact"/>
        <w:ind w:firstLine="480" w:firstLineChars="200"/>
        <w:jc w:val="center"/>
        <w:rPr>
          <w:rFonts w:hint="eastAsia" w:ascii="宋体" w:hAnsi="宋体" w:cs="宋体"/>
          <w:bCs/>
          <w:color w:val="auto"/>
          <w:sz w:val="24"/>
          <w:szCs w:val="24"/>
        </w:rPr>
      </w:pPr>
      <w:r>
        <w:rPr>
          <w:rFonts w:hint="eastAsia" w:ascii="宋体" w:hAnsi="宋体" w:cs="宋体"/>
          <w:bCs/>
          <w:color w:val="auto"/>
          <w:sz w:val="24"/>
          <w:szCs w:val="24"/>
        </w:rPr>
        <w:t>附录1　</w:t>
      </w:r>
      <w:r>
        <w:rPr>
          <w:rFonts w:hint="eastAsia" w:ascii="宋体" w:hAnsi="宋体" w:cs="宋体"/>
          <w:bCs/>
          <w:color w:val="auto"/>
          <w:sz w:val="24"/>
        </w:rPr>
        <w:t>资格</w:t>
      </w:r>
      <w:r>
        <w:rPr>
          <w:rFonts w:hint="eastAsia" w:ascii="宋体" w:hAnsi="宋体" w:cs="宋体"/>
          <w:bCs/>
          <w:color w:val="auto"/>
          <w:sz w:val="24"/>
          <w:szCs w:val="24"/>
        </w:rPr>
        <w:t>审查条件（资质最低要求）</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802" w:type="dxa"/>
            <w:vAlign w:val="center"/>
          </w:tcPr>
          <w:p>
            <w:pPr>
              <w:pStyle w:val="4"/>
              <w:widowControl/>
              <w:adjustRightInd w:val="0"/>
              <w:snapToGrid w:val="0"/>
              <w:contextualSpacing/>
              <w:jc w:val="center"/>
              <w:rPr>
                <w:rFonts w:hint="eastAsia" w:ascii="宋体" w:hAnsi="宋体" w:cs="宋体"/>
                <w:bCs/>
                <w:color w:val="auto"/>
              </w:rPr>
            </w:pPr>
            <w:r>
              <w:rPr>
                <w:rFonts w:hint="eastAsia" w:ascii="宋体" w:hAnsi="宋体" w:cs="宋体"/>
                <w:bCs/>
                <w:color w:val="auto"/>
              </w:rPr>
              <w:t>施工企业资质等级要求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jc w:val="center"/>
        </w:trPr>
        <w:tc>
          <w:tcPr>
            <w:tcW w:w="8802" w:type="dxa"/>
            <w:vAlign w:val="center"/>
          </w:tcPr>
          <w:p>
            <w:pPr>
              <w:spacing w:line="360" w:lineRule="auto"/>
              <w:ind w:firstLine="480" w:firstLineChars="200"/>
              <w:rPr>
                <w:rFonts w:hint="eastAsia" w:ascii="宋体" w:hAnsi="宋体" w:cs="宋体"/>
                <w:bCs/>
                <w:color w:val="auto"/>
                <w:sz w:val="24"/>
                <w:szCs w:val="24"/>
              </w:rPr>
            </w:pPr>
            <w:r>
              <w:rPr>
                <w:rFonts w:hint="eastAsia" w:ascii="宋体" w:hAnsi="宋体" w:cs="宋体"/>
                <w:color w:val="auto"/>
                <w:sz w:val="24"/>
                <w:szCs w:val="24"/>
              </w:rPr>
              <w:t>供应商须具有独立企业法人资格、持有工商行政管理部门核发的有效企业营业执照；具备交通运输行政主管部门颁发的有效的路基路面养护甲级资质、桥梁养护乙级资质及交通安全设施养护资质或者交通运输行政主管部门颁发的有效的“二类(甲级)”公路养护工程施工从业资质，具备行政主管部门核发的有效的安全生产许可证，并在人员、设备、资金等方面具备相应的能力。</w:t>
            </w:r>
          </w:p>
        </w:tc>
      </w:tr>
    </w:tbl>
    <w:p>
      <w:pPr>
        <w:adjustRightInd w:val="0"/>
        <w:spacing w:line="400" w:lineRule="exact"/>
        <w:rPr>
          <w:rFonts w:hint="eastAsia" w:ascii="宋体" w:hAnsi="宋体" w:cs="宋体"/>
          <w:bCs/>
          <w:color w:val="auto"/>
          <w:sz w:val="24"/>
          <w:szCs w:val="24"/>
        </w:rPr>
      </w:pPr>
    </w:p>
    <w:p>
      <w:pPr>
        <w:adjustRightInd w:val="0"/>
        <w:spacing w:line="400" w:lineRule="exact"/>
        <w:rPr>
          <w:rFonts w:hint="eastAsia" w:ascii="宋体" w:hAnsi="宋体" w:cs="宋体"/>
          <w:bCs/>
          <w:color w:val="auto"/>
          <w:sz w:val="24"/>
          <w:szCs w:val="24"/>
        </w:rPr>
      </w:pPr>
    </w:p>
    <w:p>
      <w:pPr>
        <w:adjustRightIn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rPr>
        <w:t>附录2　资格审查条件（信誉最低要求）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8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kern w:val="2"/>
                <w:sz w:val="24"/>
                <w:szCs w:val="24"/>
              </w:rPr>
            </w:pPr>
            <w:r>
              <w:rPr>
                <w:rFonts w:hint="eastAsia" w:ascii="宋体" w:hAnsi="宋体" w:cs="宋体"/>
                <w:bCs/>
                <w:color w:val="auto"/>
                <w:kern w:val="2"/>
                <w:sz w:val="24"/>
                <w:szCs w:val="24"/>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834" w:type="dxa"/>
            <w:vMerge w:val="restart"/>
            <w:tcBorders>
              <w:top w:val="single" w:color="auto" w:sz="4" w:space="0"/>
              <w:left w:val="single" w:color="auto" w:sz="4" w:space="0"/>
              <w:right w:val="single" w:color="auto" w:sz="4" w:space="0"/>
            </w:tcBorders>
            <w:vAlign w:val="center"/>
          </w:tcPr>
          <w:p>
            <w:pPr>
              <w:wordWrap w:val="0"/>
              <w:spacing w:line="360" w:lineRule="auto"/>
              <w:rPr>
                <w:rFonts w:hint="eastAsia" w:ascii="宋体" w:hAnsi="宋体" w:cs="宋体"/>
                <w:color w:val="auto"/>
                <w:sz w:val="24"/>
                <w:szCs w:val="24"/>
              </w:rPr>
            </w:pPr>
            <w:r>
              <w:rPr>
                <w:rFonts w:hint="eastAsia" w:ascii="宋体" w:hAnsi="宋体" w:cs="宋体"/>
                <w:color w:val="auto"/>
                <w:sz w:val="24"/>
                <w:szCs w:val="24"/>
              </w:rPr>
              <w:t>①供应商在近1年（2024年3月1日至评审日）中不曾在公路养护工程中违约而被驱逐或因供应商自身的原因而使合同被解除。</w:t>
            </w:r>
          </w:p>
          <w:p>
            <w:pPr>
              <w:wordWrap w:val="0"/>
              <w:spacing w:line="360" w:lineRule="auto"/>
              <w:rPr>
                <w:rFonts w:hint="eastAsia" w:ascii="宋体" w:hAnsi="宋体" w:cs="宋体"/>
                <w:color w:val="auto"/>
                <w:sz w:val="24"/>
                <w:szCs w:val="24"/>
              </w:rPr>
            </w:pPr>
            <w:r>
              <w:rPr>
                <w:rFonts w:hint="eastAsia" w:ascii="宋体" w:hAnsi="宋体" w:cs="宋体"/>
                <w:color w:val="auto"/>
                <w:sz w:val="24"/>
                <w:szCs w:val="24"/>
              </w:rPr>
              <w:t>在国家企业信用信息公示系统（http://www.gsxt.gov.cn/）中未被列入严重违法失信名单（黑名单）（均不含分公司）、在“信用中国”网站(http://www.creditchina.gov.cn/)中未被列入失信被执行人、异常经营名录、税收违法黑名单和政府采购严重违法失信行为记录名单（均不含分公司）。</w:t>
            </w:r>
          </w:p>
          <w:p>
            <w:pPr>
              <w:wordWrap w:val="0"/>
              <w:spacing w:line="360" w:lineRule="auto"/>
              <w:rPr>
                <w:rFonts w:hint="eastAsia" w:ascii="宋体" w:hAnsi="宋体" w:cs="宋体"/>
                <w:color w:val="auto"/>
                <w:sz w:val="24"/>
                <w:szCs w:val="24"/>
              </w:rPr>
            </w:pPr>
            <w:r>
              <w:rPr>
                <w:rFonts w:hint="eastAsia" w:ascii="宋体" w:hAnsi="宋体" w:cs="宋体"/>
                <w:color w:val="auto"/>
                <w:sz w:val="24"/>
                <w:szCs w:val="24"/>
              </w:rPr>
              <w:t>②供应商或其法定代表人、拟委任的项目经理在近三年内（2022年3月1日至今）有行贿犯罪行为的，不得参加响应。</w:t>
            </w:r>
          </w:p>
          <w:p>
            <w:pPr>
              <w:wordWrap w:val="0"/>
              <w:spacing w:line="360" w:lineRule="auto"/>
              <w:rPr>
                <w:rFonts w:hint="eastAsia" w:ascii="宋体" w:hAnsi="宋体" w:cs="宋体"/>
                <w:bCs/>
                <w:color w:val="auto"/>
                <w:kern w:val="2"/>
                <w:sz w:val="24"/>
                <w:szCs w:val="24"/>
              </w:rPr>
            </w:pPr>
            <w:r>
              <w:rPr>
                <w:rFonts w:hint="eastAsia" w:ascii="宋体" w:hAnsi="宋体" w:cs="宋体"/>
                <w:color w:val="auto"/>
                <w:sz w:val="24"/>
                <w:szCs w:val="24"/>
              </w:rPr>
              <w:t>③与采购人存在利害关系可能影响采购公正性的单位，不得参加响应。单位负责人为同一人或者存在控股、管理关系的不同单位，不得同时参加本次响应，否则，相关响应均无效。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834" w:type="dxa"/>
            <w:vMerge w:val="continue"/>
            <w:tcBorders>
              <w:left w:val="single" w:color="auto" w:sz="4" w:space="0"/>
              <w:bottom w:val="single" w:color="auto" w:sz="4" w:space="0"/>
              <w:right w:val="single" w:color="auto" w:sz="4" w:space="0"/>
            </w:tcBorders>
            <w:vAlign w:val="center"/>
          </w:tcPr>
          <w:p>
            <w:pPr>
              <w:spacing w:line="240" w:lineRule="exact"/>
              <w:rPr>
                <w:rFonts w:hint="eastAsia" w:ascii="宋体" w:hAnsi="宋体" w:cs="宋体"/>
                <w:bCs/>
                <w:color w:val="auto"/>
                <w:kern w:val="2"/>
                <w:sz w:val="24"/>
                <w:szCs w:val="24"/>
              </w:rPr>
            </w:pPr>
          </w:p>
        </w:tc>
      </w:tr>
    </w:tbl>
    <w:p>
      <w:pPr>
        <w:adjustRightInd w:val="0"/>
        <w:spacing w:line="400" w:lineRule="exact"/>
        <w:jc w:val="center"/>
        <w:rPr>
          <w:rFonts w:hint="eastAsia" w:ascii="宋体" w:hAnsi="宋体" w:cs="宋体"/>
          <w:bCs/>
          <w:color w:val="auto"/>
          <w:sz w:val="24"/>
          <w:szCs w:val="24"/>
        </w:rPr>
      </w:pPr>
    </w:p>
    <w:p>
      <w:pPr>
        <w:adjustRightInd w:val="0"/>
        <w:spacing w:line="400" w:lineRule="exact"/>
        <w:jc w:val="center"/>
        <w:rPr>
          <w:rFonts w:hint="eastAsia" w:ascii="宋体" w:hAnsi="宋体" w:cs="宋体"/>
          <w:bCs/>
          <w:color w:val="auto"/>
          <w:sz w:val="24"/>
          <w:szCs w:val="24"/>
        </w:rPr>
      </w:pPr>
    </w:p>
    <w:p>
      <w:pPr>
        <w:adjustRightInd w:val="0"/>
        <w:spacing w:line="400" w:lineRule="exact"/>
        <w:jc w:val="center"/>
        <w:rPr>
          <w:rFonts w:hint="eastAsia" w:ascii="宋体" w:hAnsi="宋体" w:cs="宋体"/>
          <w:bCs/>
          <w:color w:val="auto"/>
          <w:sz w:val="24"/>
          <w:szCs w:val="24"/>
        </w:rPr>
      </w:pPr>
    </w:p>
    <w:p>
      <w:pPr>
        <w:adjustRightInd w:val="0"/>
        <w:spacing w:line="400" w:lineRule="exact"/>
        <w:jc w:val="center"/>
        <w:rPr>
          <w:rFonts w:hint="eastAsia" w:ascii="宋体" w:hAnsi="宋体" w:cs="宋体"/>
          <w:bCs/>
          <w:color w:val="auto"/>
          <w:sz w:val="24"/>
          <w:szCs w:val="24"/>
        </w:rPr>
      </w:pPr>
    </w:p>
    <w:p>
      <w:pPr>
        <w:adjustRightInd w:val="0"/>
        <w:spacing w:line="400" w:lineRule="exact"/>
        <w:jc w:val="center"/>
        <w:rPr>
          <w:rFonts w:hint="eastAsia" w:ascii="宋体" w:hAnsi="宋体" w:cs="宋体"/>
          <w:bCs/>
          <w:color w:val="auto"/>
          <w:sz w:val="24"/>
          <w:szCs w:val="24"/>
        </w:rPr>
      </w:pPr>
    </w:p>
    <w:p>
      <w:pPr>
        <w:adjustRightInd w:val="0"/>
        <w:spacing w:line="400" w:lineRule="exact"/>
        <w:rPr>
          <w:rFonts w:hint="eastAsia" w:ascii="宋体" w:hAnsi="宋体" w:cs="宋体"/>
          <w:bCs/>
          <w:color w:val="auto"/>
          <w:sz w:val="24"/>
          <w:szCs w:val="24"/>
        </w:rPr>
      </w:pPr>
    </w:p>
    <w:p>
      <w:pPr>
        <w:pStyle w:val="2"/>
        <w:rPr>
          <w:rFonts w:ascii="宋体" w:hAnsi="宋体" w:cs="宋体"/>
          <w:bCs/>
          <w:color w:val="auto"/>
          <w:sz w:val="24"/>
          <w:szCs w:val="24"/>
        </w:rPr>
      </w:pPr>
    </w:p>
    <w:p>
      <w:pPr>
        <w:pStyle w:val="3"/>
        <w:rPr>
          <w:rFonts w:hint="eastAsia"/>
        </w:rPr>
      </w:pPr>
    </w:p>
    <w:p>
      <w:pPr>
        <w:adjustRightIn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rPr>
        <w:t>附录3　资格审查条件（项目经理和项目总工最低要求）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771"/>
        <w:gridCol w:w="526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3" w:type="dxa"/>
            <w:vAlign w:val="center"/>
          </w:tcPr>
          <w:p>
            <w:pPr>
              <w:jc w:val="center"/>
              <w:rPr>
                <w:rFonts w:hint="eastAsia" w:ascii="宋体" w:hAnsi="宋体" w:cs="宋体"/>
                <w:color w:val="auto"/>
                <w:kern w:val="2"/>
                <w:sz w:val="24"/>
                <w:szCs w:val="24"/>
              </w:rPr>
            </w:pPr>
            <w:bookmarkStart w:id="0" w:name="_Hlk51596344"/>
            <w:r>
              <w:rPr>
                <w:rFonts w:hint="eastAsia" w:ascii="宋体" w:hAnsi="宋体" w:cs="宋体"/>
                <w:color w:val="auto"/>
                <w:kern w:val="2"/>
                <w:sz w:val="24"/>
                <w:szCs w:val="24"/>
              </w:rPr>
              <w:t>人员</w:t>
            </w:r>
          </w:p>
        </w:tc>
        <w:tc>
          <w:tcPr>
            <w:tcW w:w="771" w:type="dxa"/>
            <w:vAlign w:val="center"/>
          </w:tcPr>
          <w:p>
            <w:pPr>
              <w:jc w:val="center"/>
              <w:rPr>
                <w:rFonts w:hint="eastAsia" w:ascii="宋体" w:hAnsi="宋体" w:cs="宋体"/>
                <w:color w:val="auto"/>
                <w:kern w:val="2"/>
                <w:sz w:val="24"/>
                <w:szCs w:val="24"/>
              </w:rPr>
            </w:pPr>
            <w:r>
              <w:rPr>
                <w:rFonts w:hint="eastAsia" w:ascii="宋体" w:hAnsi="宋体" w:cs="宋体"/>
                <w:color w:val="auto"/>
                <w:kern w:val="2"/>
                <w:sz w:val="24"/>
                <w:szCs w:val="24"/>
              </w:rPr>
              <w:t>数量</w:t>
            </w:r>
          </w:p>
        </w:tc>
        <w:tc>
          <w:tcPr>
            <w:tcW w:w="5266" w:type="dxa"/>
            <w:vAlign w:val="center"/>
          </w:tcPr>
          <w:p>
            <w:pPr>
              <w:jc w:val="center"/>
              <w:rPr>
                <w:rFonts w:hint="eastAsia" w:ascii="宋体" w:hAnsi="宋体" w:cs="宋体"/>
                <w:color w:val="auto"/>
                <w:kern w:val="2"/>
                <w:sz w:val="24"/>
                <w:szCs w:val="24"/>
              </w:rPr>
            </w:pPr>
            <w:r>
              <w:rPr>
                <w:rFonts w:hint="eastAsia" w:ascii="宋体" w:hAnsi="宋体" w:cs="宋体"/>
                <w:color w:val="auto"/>
                <w:kern w:val="2"/>
                <w:sz w:val="24"/>
                <w:szCs w:val="24"/>
              </w:rPr>
              <w:t>资格要求</w:t>
            </w:r>
          </w:p>
        </w:tc>
        <w:tc>
          <w:tcPr>
            <w:tcW w:w="1600" w:type="dxa"/>
            <w:vAlign w:val="center"/>
          </w:tcPr>
          <w:p>
            <w:pPr>
              <w:jc w:val="center"/>
              <w:rPr>
                <w:rFonts w:hint="eastAsia" w:ascii="宋体" w:hAnsi="宋体" w:cs="宋体"/>
                <w:color w:val="auto"/>
                <w:kern w:val="2"/>
                <w:sz w:val="24"/>
                <w:szCs w:val="24"/>
              </w:rPr>
            </w:pPr>
            <w:r>
              <w:rPr>
                <w:rFonts w:hint="eastAsia" w:ascii="宋体" w:hAnsi="宋体" w:cs="宋体"/>
                <w:color w:val="auto"/>
                <w:kern w:val="2"/>
                <w:sz w:val="24"/>
                <w:szCs w:val="24"/>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193" w:type="dxa"/>
            <w:vAlign w:val="center"/>
          </w:tcPr>
          <w:p>
            <w:pPr>
              <w:jc w:val="center"/>
              <w:rPr>
                <w:rFonts w:hint="eastAsia" w:ascii="宋体" w:hAnsi="宋体" w:cs="宋体"/>
                <w:color w:val="auto"/>
                <w:kern w:val="2"/>
                <w:sz w:val="24"/>
                <w:szCs w:val="24"/>
              </w:rPr>
            </w:pPr>
            <w:bookmarkStart w:id="1" w:name="_Hlk51596314"/>
            <w:r>
              <w:rPr>
                <w:rFonts w:hint="eastAsia" w:ascii="宋体" w:hAnsi="宋体" w:cs="宋体"/>
                <w:color w:val="auto"/>
                <w:kern w:val="2"/>
                <w:sz w:val="24"/>
                <w:szCs w:val="24"/>
              </w:rPr>
              <w:t>项目经理</w:t>
            </w:r>
            <w:bookmarkEnd w:id="1"/>
          </w:p>
        </w:tc>
        <w:tc>
          <w:tcPr>
            <w:tcW w:w="771" w:type="dxa"/>
            <w:vAlign w:val="center"/>
          </w:tcPr>
          <w:p>
            <w:pPr>
              <w:jc w:val="center"/>
              <w:rPr>
                <w:rFonts w:hint="eastAsia" w:ascii="宋体" w:hAnsi="宋体" w:cs="宋体"/>
                <w:color w:val="auto"/>
                <w:kern w:val="2"/>
                <w:sz w:val="24"/>
                <w:szCs w:val="24"/>
              </w:rPr>
            </w:pPr>
            <w:r>
              <w:rPr>
                <w:rFonts w:hint="eastAsia" w:ascii="宋体" w:hAnsi="宋体" w:cs="宋体"/>
                <w:color w:val="auto"/>
                <w:kern w:val="2"/>
                <w:sz w:val="24"/>
                <w:szCs w:val="24"/>
              </w:rPr>
              <w:t>1</w:t>
            </w:r>
          </w:p>
        </w:tc>
        <w:tc>
          <w:tcPr>
            <w:tcW w:w="5266" w:type="dxa"/>
            <w:vAlign w:val="center"/>
          </w:tcPr>
          <w:p>
            <w:pPr>
              <w:adjustRightInd w:val="0"/>
              <w:snapToGrid w:val="0"/>
              <w:rPr>
                <w:rFonts w:hint="eastAsia" w:ascii="宋体" w:hAnsi="宋体" w:cs="宋体"/>
                <w:color w:val="auto"/>
                <w:sz w:val="24"/>
                <w:szCs w:val="24"/>
              </w:rPr>
            </w:pPr>
            <w:r>
              <w:rPr>
                <w:rFonts w:hint="eastAsia" w:ascii="宋体" w:hAnsi="宋体" w:cs="宋体"/>
                <w:color w:val="auto"/>
                <w:sz w:val="24"/>
                <w:szCs w:val="24"/>
              </w:rPr>
              <w:t>具备工程师及以上职称；</w:t>
            </w:r>
          </w:p>
          <w:p>
            <w:pPr>
              <w:adjustRightInd w:val="0"/>
              <w:snapToGrid w:val="0"/>
              <w:rPr>
                <w:rFonts w:hint="eastAsia" w:ascii="宋体" w:hAnsi="宋体" w:cs="宋体"/>
                <w:color w:val="auto"/>
                <w:sz w:val="24"/>
                <w:szCs w:val="24"/>
              </w:rPr>
            </w:pPr>
            <w:r>
              <w:rPr>
                <w:rFonts w:hint="eastAsia" w:ascii="宋体" w:hAnsi="宋体" w:cs="宋体"/>
                <w:color w:val="auto"/>
                <w:sz w:val="24"/>
                <w:szCs w:val="24"/>
              </w:rPr>
              <w:t>具有公路工程专业贰级及以上注册建造师证书；具有交通运输主管部门颁发的《安全生产考核合格证书》B类；</w:t>
            </w:r>
          </w:p>
        </w:tc>
        <w:tc>
          <w:tcPr>
            <w:tcW w:w="1600" w:type="dxa"/>
            <w:vMerge w:val="restart"/>
            <w:vAlign w:val="center"/>
          </w:tcPr>
          <w:p>
            <w:pPr>
              <w:adjustRightInd w:val="0"/>
              <w:snapToGrid w:val="0"/>
              <w:rPr>
                <w:rFonts w:hint="eastAsia" w:ascii="宋体" w:hAnsi="宋体" w:cs="宋体"/>
                <w:color w:val="auto"/>
                <w:sz w:val="24"/>
                <w:szCs w:val="24"/>
              </w:rPr>
            </w:pPr>
            <w:r>
              <w:rPr>
                <w:rFonts w:hint="eastAsia" w:ascii="宋体" w:hAnsi="宋体" w:cs="宋体"/>
                <w:color w:val="auto"/>
                <w:sz w:val="24"/>
                <w:szCs w:val="24"/>
              </w:rPr>
              <w:t>未在其他项目上任职，或虽在其他项目上任职但本项目成交后能够从该项目撤离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193" w:type="dxa"/>
            <w:vAlign w:val="center"/>
          </w:tcPr>
          <w:p>
            <w:pPr>
              <w:adjustRightInd w:val="0"/>
              <w:snapToGrid w:val="0"/>
              <w:rPr>
                <w:rFonts w:hint="eastAsia" w:ascii="宋体" w:hAnsi="宋体" w:cs="宋体"/>
                <w:color w:val="auto"/>
                <w:sz w:val="24"/>
                <w:szCs w:val="24"/>
              </w:rPr>
            </w:pPr>
            <w:r>
              <w:rPr>
                <w:rFonts w:hint="eastAsia" w:ascii="宋体" w:hAnsi="宋体" w:cs="宋体"/>
                <w:color w:val="auto"/>
                <w:sz w:val="24"/>
                <w:szCs w:val="24"/>
              </w:rPr>
              <w:t>项目总工</w:t>
            </w:r>
          </w:p>
        </w:tc>
        <w:tc>
          <w:tcPr>
            <w:tcW w:w="771" w:type="dxa"/>
            <w:vAlign w:val="center"/>
          </w:tcPr>
          <w:p>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5266" w:type="dxa"/>
            <w:vAlign w:val="center"/>
          </w:tcPr>
          <w:p>
            <w:pPr>
              <w:adjustRightInd w:val="0"/>
              <w:snapToGrid w:val="0"/>
              <w:rPr>
                <w:rFonts w:hint="eastAsia" w:ascii="宋体" w:hAnsi="宋体" w:cs="宋体"/>
                <w:color w:val="auto"/>
                <w:sz w:val="24"/>
                <w:szCs w:val="24"/>
              </w:rPr>
            </w:pPr>
            <w:r>
              <w:rPr>
                <w:rFonts w:hint="eastAsia" w:ascii="宋体" w:hAnsi="宋体" w:cs="宋体"/>
                <w:color w:val="auto"/>
                <w:sz w:val="24"/>
                <w:szCs w:val="24"/>
              </w:rPr>
              <w:t>具有公路工程专业工程师及以上职称；</w:t>
            </w:r>
          </w:p>
          <w:p>
            <w:pPr>
              <w:adjustRightInd w:val="0"/>
              <w:snapToGrid w:val="0"/>
              <w:rPr>
                <w:rFonts w:hint="eastAsia" w:ascii="宋体" w:hAnsi="宋体" w:cs="宋体"/>
                <w:color w:val="auto"/>
                <w:sz w:val="24"/>
                <w:szCs w:val="24"/>
              </w:rPr>
            </w:pPr>
            <w:r>
              <w:rPr>
                <w:rFonts w:hint="eastAsia" w:ascii="宋体" w:hAnsi="宋体" w:cs="宋体"/>
                <w:color w:val="auto"/>
                <w:sz w:val="24"/>
                <w:szCs w:val="24"/>
              </w:rPr>
              <w:t>具有交通运输主管部门颁发的《安全生产考核合格证书》B类。</w:t>
            </w:r>
          </w:p>
        </w:tc>
        <w:tc>
          <w:tcPr>
            <w:tcW w:w="1600" w:type="dxa"/>
            <w:vMerge w:val="continue"/>
            <w:vAlign w:val="center"/>
          </w:tcPr>
          <w:p>
            <w:pPr>
              <w:adjustRightInd w:val="0"/>
              <w:snapToGrid w:val="0"/>
              <w:rPr>
                <w:rFonts w:hint="eastAsia" w:ascii="宋体" w:hAnsi="宋体" w:cs="宋体"/>
                <w:color w:val="auto"/>
                <w:sz w:val="24"/>
                <w:szCs w:val="24"/>
              </w:rPr>
            </w:pPr>
          </w:p>
        </w:tc>
      </w:tr>
      <w:bookmarkEnd w:id="0"/>
    </w:tbl>
    <w:p>
      <w:pPr>
        <w:pStyle w:val="3"/>
        <w:rPr>
          <w:rFonts w:hint="eastAsia"/>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08075932"/>
    <w:rsid w:val="0807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6"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6"/>
    <w:pPr>
      <w:tabs>
        <w:tab w:val="left" w:pos="686"/>
      </w:tabs>
      <w:spacing w:line="440" w:lineRule="exact"/>
    </w:pPr>
    <w:rPr>
      <w:kern w:val="1"/>
      <w:sz w:val="28"/>
      <w:u w:val="single"/>
    </w:rPr>
  </w:style>
  <w:style w:type="paragraph" w:styleId="3">
    <w:name w:val="Body Text 2"/>
    <w:basedOn w:val="1"/>
    <w:qFormat/>
    <w:uiPriority w:val="6"/>
    <w:pPr>
      <w:spacing w:line="520" w:lineRule="exact"/>
    </w:pPr>
    <w:rPr>
      <w:rFonts w:ascii="仿宋_GB2312" w:hAnsi="仿宋_GB2312" w:eastAsia="仿宋_GB2312" w:cs="宋体"/>
      <w:b/>
      <w:kern w:val="1"/>
      <w:sz w:val="24"/>
    </w:rPr>
  </w:style>
  <w:style w:type="paragraph" w:styleId="4">
    <w:name w:val="Normal (Web)"/>
    <w:basedOn w:val="1"/>
    <w:qFormat/>
    <w:uiPriority w:val="0"/>
    <w:rPr>
      <w:rFonts w:ascii="Calibri" w:hAnsi="Calibri"/>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2025-03-04T03:57:00Z</dcterms:created>
  <dc:creator>赵凌云</dc:creator>
  <cp:lastModifiedBy>赵凌云</cp:lastModifiedBy>
  <dcterms:modified xsi:type="dcterms:W3CDTF">2025-03-04T03:57:21Z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D28778E3B6964780AE4CF30B1B0C681E_11</vt:lpwstr>
  </property>
</Properties>
</file>