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outlineLvl w:val="2"/>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附件</w:t>
      </w:r>
      <w:r>
        <w:rPr>
          <w:rFonts w:hint="eastAsia" w:ascii="Times New Roman" w:hAnsi="Times New Roman" w:cs="Times New Roman"/>
          <w:color w:val="auto"/>
          <w:kern w:val="2"/>
          <w:highlight w:val="none"/>
          <w:lang w:val="en-US" w:eastAsia="zh-CN"/>
        </w:rPr>
        <w:t>2</w:t>
      </w:r>
      <w:r>
        <w:rPr>
          <w:rFonts w:hint="eastAsia" w:ascii="Times New Roman" w:hAnsi="Times New Roman" w:cs="Times New Roman"/>
          <w:color w:val="auto"/>
          <w:kern w:val="2"/>
          <w:highlight w:val="none"/>
        </w:rPr>
        <w:t>：评标办法（技术评分最低标价法）</w:t>
      </w:r>
    </w:p>
    <w:p>
      <w:pPr>
        <w:spacing w:line="240" w:lineRule="auto"/>
        <w:ind w:left="210" w:leftChars="100" w:firstLine="0" w:firstLineChars="0"/>
        <w:jc w:val="center"/>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评标办法前附表</w:t>
      </w:r>
    </w:p>
    <w:p>
      <w:pPr>
        <w:spacing w:line="400" w:lineRule="exact"/>
        <w:rPr>
          <w:rFonts w:ascii="宋体" w:hAnsi="宋体" w:cs="宋体"/>
          <w:color w:val="auto"/>
          <w:kern w:val="2"/>
          <w:highlight w:val="none"/>
        </w:rPr>
      </w:pPr>
    </w:p>
    <w:p>
      <w:pPr>
        <w:pStyle w:val="3"/>
      </w:pPr>
    </w:p>
    <w:tbl>
      <w:tblPr>
        <w:tblStyle w:val="12"/>
        <w:tblW w:w="97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13" w:type="dxa"/>
          <w:bottom w:w="0" w:type="dxa"/>
          <w:right w:w="113" w:type="dxa"/>
        </w:tblCellMar>
      </w:tblPr>
      <w:tblGrid>
        <w:gridCol w:w="979"/>
        <w:gridCol w:w="1101"/>
        <w:gridCol w:w="76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532" w:hRule="atLeast"/>
          <w:jc w:val="center"/>
        </w:trPr>
        <w:tc>
          <w:tcPr>
            <w:tcW w:w="2080"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center"/>
              <w:textAlignment w:val="baseline"/>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条款号</w:t>
            </w:r>
          </w:p>
        </w:tc>
        <w:tc>
          <w:tcPr>
            <w:tcW w:w="769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center"/>
              <w:textAlignment w:val="baseline"/>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评审因素与标准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1307" w:hRule="atLeast"/>
          <w:jc w:val="center"/>
        </w:trPr>
        <w:tc>
          <w:tcPr>
            <w:tcW w:w="97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ascii="Times New Roman" w:hAnsi="Times New Roman" w:eastAsia="Times New Roman" w:cs="Times New Roman"/>
                <w:color w:val="auto"/>
                <w:kern w:val="2"/>
                <w:highlight w:val="none"/>
              </w:rPr>
            </w:pPr>
            <w:r>
              <w:rPr>
                <w:rFonts w:hint="eastAsia" w:ascii="宋体" w:hAnsi="宋体"/>
                <w:color w:val="auto"/>
                <w:sz w:val="21"/>
                <w:szCs w:val="21"/>
                <w:highlight w:val="none"/>
              </w:rPr>
              <w:t>1</w:t>
            </w:r>
          </w:p>
        </w:tc>
        <w:tc>
          <w:tcPr>
            <w:tcW w:w="11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highlight w:val="none"/>
              </w:rPr>
            </w:pPr>
            <w:r>
              <w:rPr>
                <w:rFonts w:hint="eastAsia" w:ascii="宋体" w:hAnsi="宋体"/>
                <w:color w:val="auto"/>
                <w:sz w:val="21"/>
                <w:szCs w:val="21"/>
                <w:highlight w:val="none"/>
              </w:rPr>
              <w:t>评标办法</w:t>
            </w:r>
          </w:p>
        </w:tc>
        <w:tc>
          <w:tcPr>
            <w:tcW w:w="769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本款修改为：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本次评标采用技术评分最低标价法，双信封形式。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评标委员会对第一个信封通过初步评审的投标文件，从施工组织设计、主要人员、履约信誉、企业业绩等因素进行评分，并按照综合得分由高到低顺序排序，确定前3名投标人进入第二个信封评审。综合得分相等时，以施工组织设计得分较高的投标人优先，施工组织设计得分也相等时，以满足资格审查条件(业绩最低要求)要求的业绩累计合同额高的优先。未通过第一个信封初步评审、详细评审和综合得分未进入前3名的投标人，其第二个信封不予开封。</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当通过第一个信封初步评审的投标人为3个时，评标委员会不再进行打分，均进入第二个信封评审；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当通过第一个信封评审的投标人少于3个时，评标委员会可以否决全部投标；未否决全部投标的，评标委员会应当在评标报告中阐明理由；当通过第二个信封报价文件评审的投标人少于3个的，评标委员会可以否决全部投标；未否决全部投标的，评标委员会应当在评标报告中阐明理由并推荐中标候选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评标委员会按第二个信封评标价由低到高的顺序，向招标人推荐1-3名中标候选人，但评标价低于其成本的除外。</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评标价相等时，评标委员会依次按照以下优先顺序推荐中标候选人或确定中标人：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（1）商务和技术得分较高的投标人优先；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ascii="宋体" w:hAnsi="宋体"/>
                <w:color w:val="auto"/>
                <w:kern w:val="2"/>
                <w:sz w:val="21"/>
                <w:szCs w:val="21"/>
                <w:highlight w:val="none"/>
              </w:rPr>
            </w:pPr>
            <w:r>
              <w:rPr>
                <w:rFonts w:hint="eastAsia" w:ascii="宋体" w:hAnsi="宋体"/>
                <w:color w:val="auto"/>
                <w:kern w:val="2"/>
                <w:sz w:val="21"/>
                <w:szCs w:val="21"/>
                <w:highlight w:val="none"/>
              </w:rPr>
              <w:t>（2）施工组织设计得分较高的投标人优先；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13" w:right="113" w:firstLine="0" w:firstLineChars="0"/>
              <w:textAlignment w:val="baseline"/>
              <w:rPr>
                <w:rFonts w:hint="eastAsia" w:eastAsia="宋体"/>
                <w:color w:val="auto"/>
                <w:kern w:val="2"/>
                <w:highlight w:val="none"/>
                <w:lang w:eastAsia="zh-CN"/>
              </w:rPr>
            </w:pPr>
            <w:r>
              <w:rPr>
                <w:rFonts w:hint="eastAsia" w:ascii="宋体" w:hAnsi="宋体"/>
                <w:color w:val="auto"/>
                <w:kern w:val="2"/>
                <w:sz w:val="21"/>
                <w:szCs w:val="21"/>
                <w:highlight w:val="none"/>
              </w:rPr>
              <w:t>（3）满足资格审查条件(业绩最低要求)要求的业绩累计合同额高的优先</w:t>
            </w:r>
            <w:r>
              <w:rPr>
                <w:rFonts w:hint="eastAsia" w:ascii="宋体" w:hAnsi="宋体"/>
                <w:color w:val="auto"/>
                <w:kern w:val="2"/>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90" w:hRule="atLeast"/>
          <w:jc w:val="center"/>
        </w:trPr>
        <w:tc>
          <w:tcPr>
            <w:tcW w:w="97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before="58" w:line="240" w:lineRule="auto"/>
              <w:ind w:left="9" w:firstLine="0" w:firstLineChars="0"/>
              <w:jc w:val="center"/>
              <w:textAlignment w:val="baseline"/>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2.1. 1</w:t>
            </w:r>
          </w:p>
          <w:p>
            <w:pPr>
              <w:keepNext w:val="0"/>
              <w:keepLines w:val="0"/>
              <w:pageBreakBefore w:val="0"/>
              <w:widowControl/>
              <w:kinsoku w:val="0"/>
              <w:wordWrap/>
              <w:overflowPunct/>
              <w:topLinePunct w:val="0"/>
              <w:autoSpaceDE w:val="0"/>
              <w:autoSpaceDN w:val="0"/>
              <w:bidi w:val="0"/>
              <w:adjustRightInd w:val="0"/>
              <w:snapToGrid w:val="0"/>
              <w:spacing w:line="240" w:lineRule="auto"/>
              <w:ind w:left="9" w:firstLine="0" w:firstLineChars="0"/>
              <w:jc w:val="center"/>
              <w:textAlignment w:val="baseline"/>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2. 1.3</w:t>
            </w:r>
          </w:p>
        </w:tc>
        <w:tc>
          <w:tcPr>
            <w:tcW w:w="1101" w:type="dxa"/>
            <w:noWrap w:val="0"/>
            <w:vAlign w:val="center"/>
          </w:tcPr>
          <w:p>
            <w:pPr>
              <w:pStyle w:val="11"/>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textAlignment w:val="baseline"/>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形式评审与响应性评审标准</w:t>
            </w:r>
          </w:p>
        </w:tc>
        <w:tc>
          <w:tcPr>
            <w:tcW w:w="769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第一个信封（商务文件）评审标准：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lang w:eastAsia="zh-CN"/>
              </w:rPr>
            </w:pPr>
            <w:r>
              <w:rPr>
                <w:rFonts w:hint="eastAsia" w:ascii="Times New Roman" w:hAnsi="Times New Roman" w:cs="Times New Roman"/>
                <w:color w:val="auto"/>
                <w:kern w:val="2"/>
                <w:highlight w:val="none"/>
                <w:lang w:eastAsia="zh-CN"/>
              </w:rPr>
              <w:t>（1）投标文件按照招标文件规定的格式、内容填写，字迹清晰可辩；</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a.投标函按招标文件规定填报了项目名称、补遗书编号（如有）、工期、工程质量、安全目标、项目经理姓名。</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b.投标函附录的所有数据均符合招标文件规定。</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c.投标文件组成齐全完整，内容均按规定填写。</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（2）投标文件上法定代表人或其委托代理人的签字、投标人的单位章盖章齐全，符合招标文件规定。</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（3）投标人按照招标文件规定的金额、形式、时效和内容提供了投标保证金：</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ascii="Times New Roman" w:hAnsi="Times New Roman" w:cs="Times New Roman"/>
                <w:color w:val="auto"/>
                <w:kern w:val="2"/>
                <w:highlight w:val="none"/>
              </w:rPr>
              <w:t>a.投标保证金金额符合招标文件规定的金额，且投标保证金有效期不少于投标有效期；</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ascii="Times New Roman" w:hAnsi="Times New Roman" w:cs="Times New Roman"/>
                <w:color w:val="auto"/>
                <w:kern w:val="2"/>
                <w:highlight w:val="none"/>
              </w:rPr>
              <w:t>b.若投标保证金采用电汇或转账形式提交，投标人应在递交投标文件截止时间之前，将投标保证金由投标人的基本账户转入招标人指定账户；</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ascii="Times New Roman" w:hAnsi="Times New Roman" w:cs="Times New Roman"/>
                <w:color w:val="auto"/>
                <w:kern w:val="2"/>
                <w:highlight w:val="none"/>
              </w:rPr>
              <w:t>c.若投标保证金采用保函形式提交，开具的保函满足招标文件要求；</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ascii="Times New Roman" w:hAnsi="Times New Roman" w:cs="Times New Roman"/>
                <w:color w:val="auto"/>
                <w:kern w:val="2"/>
                <w:highlight w:val="none"/>
              </w:rPr>
              <w:t>d.若投标保证金采用保证保险形式提交，开具的保证保险满足招标文件要求。</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w:t>
            </w:r>
            <w:r>
              <w:rPr>
                <w:rFonts w:ascii="Times New Roman" w:hAnsi="Times New Roman" w:cs="Times New Roman"/>
                <w:color w:val="auto"/>
                <w:kern w:val="2"/>
                <w:highlight w:val="none"/>
              </w:rPr>
              <w:t>4</w:t>
            </w:r>
            <w:r>
              <w:rPr>
                <w:rFonts w:hint="eastAsia" w:ascii="Times New Roman" w:hAnsi="Times New Roman" w:cs="Times New Roman"/>
                <w:color w:val="auto"/>
                <w:kern w:val="2"/>
                <w:highlight w:val="none"/>
              </w:rPr>
              <w:t>）投标人法定代表人授权委托代理人签署投标文件的，须提交授权委托书，并符合下列要求：</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a.</w:t>
            </w:r>
            <w:r>
              <w:rPr>
                <w:rFonts w:ascii="Times New Roman" w:hAnsi="Times New Roman" w:cs="Times New Roman"/>
                <w:color w:val="auto"/>
                <w:kern w:val="2"/>
                <w:highlight w:val="none"/>
              </w:rPr>
              <w:t>法定代表人和委托代理人</w:t>
            </w:r>
            <w:r>
              <w:rPr>
                <w:rFonts w:hint="eastAsia" w:ascii="Times New Roman" w:hAnsi="Times New Roman" w:cs="Times New Roman"/>
                <w:color w:val="auto"/>
                <w:kern w:val="2"/>
                <w:highlight w:val="none"/>
              </w:rPr>
              <w:t>均</w:t>
            </w:r>
            <w:r>
              <w:rPr>
                <w:rFonts w:ascii="Times New Roman" w:hAnsi="Times New Roman" w:cs="Times New Roman"/>
                <w:color w:val="auto"/>
                <w:kern w:val="2"/>
                <w:highlight w:val="none"/>
              </w:rPr>
              <w:t>在授权书</w:t>
            </w:r>
            <w:r>
              <w:rPr>
                <w:rFonts w:hint="eastAsia" w:ascii="Times New Roman" w:hAnsi="Times New Roman" w:cs="Times New Roman"/>
                <w:color w:val="auto"/>
                <w:kern w:val="2"/>
                <w:highlight w:val="none"/>
              </w:rPr>
              <w:t>上</w:t>
            </w:r>
            <w:r>
              <w:rPr>
                <w:rFonts w:ascii="Times New Roman" w:hAnsi="Times New Roman" w:cs="Times New Roman"/>
                <w:color w:val="auto"/>
                <w:kern w:val="2"/>
                <w:highlight w:val="none"/>
              </w:rPr>
              <w:t>签名；</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b.投标函签署的日期与授权委托书出具的日期同日或在其之后，并与投标截止时间同日或在其之前；</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c.授权委托书只能授权给一名委托代理人。</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（5）投标人法定代表人亲自签署投标文件的，提供了法定代表人身份证明</w:t>
            </w:r>
            <w:r>
              <w:rPr>
                <w:rFonts w:hint="eastAsia" w:ascii="Times New Roman" w:hAnsi="Times New Roman" w:cs="Times New Roman"/>
                <w:color w:val="auto"/>
                <w:kern w:val="2"/>
                <w:highlight w:val="none"/>
                <w:lang w:eastAsia="zh-CN"/>
              </w:rPr>
              <w:t>，</w:t>
            </w:r>
            <w:r>
              <w:rPr>
                <w:rFonts w:hint="eastAsia" w:ascii="Times New Roman" w:hAnsi="Times New Roman" w:cs="Times New Roman"/>
                <w:color w:val="auto"/>
                <w:kern w:val="2"/>
                <w:highlight w:val="none"/>
                <w:lang w:val="en-US" w:eastAsia="zh-CN"/>
              </w:rPr>
              <w:t>符合招标文件规定</w:t>
            </w:r>
            <w:r>
              <w:rPr>
                <w:rFonts w:hint="eastAsia" w:ascii="Times New Roman" w:hAnsi="Times New Roman" w:cs="Times New Roman"/>
                <w:color w:val="auto"/>
                <w:kern w:val="2"/>
                <w:highlight w:val="none"/>
              </w:rPr>
              <w:t>。</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（6）投标人未以联合体形式投标。</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（7）投标人未对本项目提出分包计划。</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（8）同一投标人未提交两个以上不同的投标文件。</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（9）投标文件第一信封（商务及技术文件）中未出现有关投标报价的内容。</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（10）投标文件载明的招标项目完成期限未超过招标文件规定的时限。</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（11）投标文件对招标文件的实质性要求和条件作出响应。</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（12）权利义务符合招标文件规定：</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a.投标人应接受招标文件规定的风险划分原则，未提出新的风险划分办法；</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b.投标人未增加委托人的责任范围，或减少投标人义务；</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c.投标人未提出不同的验收、计量、支付办法；</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d.投标人对合同纠纷、事故处理办法未提出异议；</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e.投标人在投标活动中无欺诈行为；</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f.投标人未对合同条款有重要保留。</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（13）投标人名称与营业执照、资质证书、安全生产许可证一致、基本账户开户许可证（或基本存款账户信息）一致，如企业名称有变更的，应提供其变更记录或相关部门的合法批件复印件。</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（14）未提交备选投标方案。</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ascii="宋体" w:hAnsi="宋体" w:cs="宋体"/>
                <w:color w:val="auto"/>
                <w:kern w:val="2"/>
                <w:highlight w:val="none"/>
                <w:lang w:eastAsia="zh-CN"/>
              </w:rPr>
            </w:pPr>
            <w:r>
              <w:rPr>
                <w:rFonts w:hint="eastAsia" w:ascii="宋体" w:hAnsi="宋体" w:cs="宋体"/>
                <w:b/>
                <w:bCs/>
                <w:color w:val="auto"/>
                <w:kern w:val="2"/>
                <w:highlight w:val="none"/>
                <w:lang w:eastAsia="zh-CN"/>
              </w:rPr>
              <w:t>第一个信封（技术文件）评审标准：</w:t>
            </w:r>
          </w:p>
          <w:p>
            <w:pPr>
              <w:pStyle w:val="13"/>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color w:val="auto"/>
                <w:kern w:val="2"/>
                <w:highlight w:val="none"/>
              </w:rPr>
            </w:pPr>
            <w:r>
              <w:rPr>
                <w:rFonts w:ascii="Times New Roman" w:hAnsi="Times New Roman" w:cs="Times New Roman"/>
                <w:color w:val="auto"/>
                <w:kern w:val="2"/>
                <w:highlight w:val="none"/>
              </w:rPr>
              <w:t>（1）施工组织设计（暗标）符合招标文件第二章“投标人须知”第10.2款的规定。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第二个信封（报价文件）评审标准：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（1）投标文件按照招标文件规定的格式、内容填写，字迹清晰可辨，内容齐全完整：</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a.投标报价函按招标文件规定填报了项目名称、补遗书编号（如有）、投标总报价（包括大写金额和小写金额）；</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b．已标价工程量清单说明文字与招标文件规定一致，未进行实质性修改和删减；</w:t>
            </w:r>
          </w:p>
          <w:p>
            <w:pPr>
              <w:keepNext w:val="0"/>
              <w:keepLines w:val="0"/>
              <w:pageBreakBefore w:val="0"/>
              <w:widowControl/>
              <w:kinsoku w:val="0"/>
              <w:wordWrap/>
              <w:overflowPunct/>
              <w:topLinePunct w:val="0"/>
              <w:autoSpaceDE w:val="0"/>
              <w:autoSpaceDN w:val="0"/>
              <w:bidi w:val="0"/>
              <w:adjustRightInd w:val="0"/>
              <w:snapToGrid w:val="0"/>
              <w:spacing w:line="240" w:lineRule="auto"/>
              <w:ind w:left="210" w:leftChars="100"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c．投标文件组成齐全完整，内容均按规定填写。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（2）投标文件上法定代表人或其委托代理人的签字、投标人的单位章盖章齐全，并符合招标文件规定。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（3）投标报价未超过招标文件设定的最高投标限价。</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（4）投标报价的大写金额能够确定具体数值。</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（5）同一投标人未提交两个以上不同的投标报价。</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（6）</w:t>
            </w:r>
            <w:r>
              <w:rPr>
                <w:rFonts w:ascii="Times New Roman" w:hAnsi="Times New Roman" w:cs="Times New Roman"/>
                <w:color w:val="auto"/>
                <w:kern w:val="2"/>
                <w:highlight w:val="none"/>
                <w:lang w:eastAsia="zh-CN"/>
              </w:rPr>
              <w:t>投标人未提交调价函。</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宋体" w:hAnsi="宋体" w:cs="宋体"/>
                <w:color w:val="auto"/>
                <w:kern w:val="2"/>
                <w:highlight w:val="none"/>
                <w:lang w:eastAsia="zh-CN"/>
              </w:rPr>
            </w:pPr>
            <w:r>
              <w:rPr>
                <w:rFonts w:hint="eastAsia" w:ascii="宋体" w:hAnsi="宋体" w:cs="宋体"/>
                <w:color w:val="auto"/>
                <w:kern w:val="2"/>
                <w:highlight w:val="none"/>
                <w:lang w:eastAsia="zh-CN"/>
              </w:rPr>
              <w:t>（7）</w:t>
            </w:r>
            <w:r>
              <w:rPr>
                <w:rFonts w:ascii="Times New Roman" w:hAnsi="Times New Roman" w:cs="Times New Roman"/>
                <w:color w:val="auto"/>
                <w:kern w:val="2"/>
                <w:highlight w:val="none"/>
                <w:lang w:eastAsia="zh-CN"/>
              </w:rPr>
              <w:t>投标人填写完毕的工程量固化清单未对招标人提供的工程量固化清单电子文件中的数据、格式和运算定义进行修改；工程量固化清单中的投标报价和投标函大写金额报价一致。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13" w:type="dxa"/>
            <w:bottom w:w="0" w:type="dxa"/>
            <w:right w:w="113" w:type="dxa"/>
          </w:tblCellMar>
        </w:tblPrEx>
        <w:trPr>
          <w:trHeight w:val="3073" w:hRule="atLeast"/>
          <w:jc w:val="center"/>
        </w:trPr>
        <w:tc>
          <w:tcPr>
            <w:tcW w:w="979"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9" w:firstLine="0" w:firstLineChars="0"/>
              <w:jc w:val="center"/>
              <w:textAlignment w:val="baseline"/>
              <w:rPr>
                <w:rFonts w:ascii="Times New Roman" w:hAnsi="Times New Roman" w:cs="Times New Roman"/>
                <w:color w:val="auto"/>
                <w:kern w:val="2"/>
                <w:highlight w:val="none"/>
                <w:lang w:eastAsia="zh-CN"/>
              </w:rPr>
            </w:pPr>
            <w:r>
              <w:rPr>
                <w:rFonts w:hint="eastAsia" w:ascii="Times New Roman" w:hAnsi="Times New Roman" w:cs="Times New Roman"/>
                <w:color w:val="auto"/>
                <w:kern w:val="2"/>
                <w:highlight w:val="none"/>
                <w:lang w:eastAsia="zh-CN"/>
              </w:rPr>
              <w:t>2.1.2</w:t>
            </w:r>
          </w:p>
        </w:tc>
        <w:tc>
          <w:tcPr>
            <w:tcW w:w="110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t>资格评审</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color w:val="auto"/>
                <w:highlight w:val="none"/>
                <w:lang w:eastAsia="zh-CN"/>
              </w:rPr>
            </w:pPr>
            <w:r>
              <w:rPr>
                <w:rFonts w:hint="eastAsia" w:ascii="宋体" w:hAnsi="宋体" w:cs="宋体"/>
                <w:color w:val="auto"/>
                <w:kern w:val="2"/>
                <w:highlight w:val="none"/>
                <w:lang w:val="en-US" w:eastAsia="zh-CN"/>
              </w:rPr>
              <w:t>标准</w:t>
            </w:r>
          </w:p>
        </w:tc>
        <w:tc>
          <w:tcPr>
            <w:tcW w:w="7691"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（1）投标人具备有效的营业执照、资质证书、安全生产许可证和基本账户开户许可证（或基本存款账户信息）；</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（2）投标人的资质等级符合招标文件规定；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（3）投标人的财务状况符合招标文件规定；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（4）投标人的类似项目业绩符合招标文件规定；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（5）投标人的信誉符合招标文件规定；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（6）投标人的项目经理资格、在岗情况符合招标文件规定；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项目经理的建造师注册证书的注册单位名称必须与投标人名称一致，否则评审时将不予认可；</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eastAsia="zh-CN"/>
              </w:rPr>
            </w:pPr>
            <w:r>
              <w:rPr>
                <w:rFonts w:hint="eastAsia" w:ascii="宋体" w:hAnsi="宋体" w:cs="宋体"/>
                <w:color w:val="auto"/>
                <w:kern w:val="2"/>
                <w:highlight w:val="none"/>
                <w:lang w:eastAsia="zh-CN"/>
              </w:rPr>
              <w:t>（7）投标人不存在第二章“投标人须知”第1.4.3项或第1.4.4项规定的任何一种情形。</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ascii="Times New Roman" w:hAnsi="Times New Roman" w:cs="Times New Roman"/>
                <w:color w:val="auto"/>
                <w:sz w:val="20"/>
                <w:highlight w:val="none"/>
                <w:lang w:eastAsia="zh-CN"/>
              </w:rPr>
            </w:pPr>
            <w:r>
              <w:rPr>
                <w:rFonts w:hint="eastAsia" w:ascii="宋体" w:hAnsi="宋体" w:cs="宋体"/>
                <w:color w:val="auto"/>
                <w:kern w:val="2"/>
                <w:highlight w:val="none"/>
                <w:lang w:eastAsia="zh-CN"/>
              </w:rPr>
              <w:t>（8）投标人符合第二章“投标人须知”第1.4.5项规定。</w:t>
            </w:r>
          </w:p>
        </w:tc>
      </w:tr>
    </w:tbl>
    <w:p>
      <w:pPr>
        <w:spacing w:before="18"/>
        <w:ind w:firstLine="0" w:firstLineChars="0"/>
        <w:rPr>
          <w:color w:val="auto"/>
          <w:kern w:val="2"/>
          <w:highlight w:val="none"/>
          <w:lang w:eastAsia="zh-CN"/>
        </w:rPr>
      </w:pPr>
    </w:p>
    <w:tbl>
      <w:tblPr>
        <w:tblStyle w:val="12"/>
        <w:tblW w:w="98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0"/>
        <w:gridCol w:w="1305"/>
        <w:gridCol w:w="7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jc w:val="center"/>
        </w:trPr>
        <w:tc>
          <w:tcPr>
            <w:tcW w:w="840" w:type="dxa"/>
            <w:noWrap w:val="0"/>
            <w:vAlign w:val="top"/>
          </w:tcPr>
          <w:p>
            <w:pPr>
              <w:spacing w:line="240" w:lineRule="auto"/>
              <w:ind w:firstLine="0" w:firstLineChars="0"/>
              <w:jc w:val="center"/>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条款号</w:t>
            </w:r>
          </w:p>
        </w:tc>
        <w:tc>
          <w:tcPr>
            <w:tcW w:w="1305" w:type="dxa"/>
            <w:noWrap w:val="0"/>
            <w:vAlign w:val="top"/>
          </w:tcPr>
          <w:p>
            <w:pPr>
              <w:spacing w:line="240" w:lineRule="auto"/>
              <w:ind w:left="210" w:leftChars="100" w:firstLine="0" w:firstLineChars="0"/>
              <w:jc w:val="center"/>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条款内容</w:t>
            </w:r>
          </w:p>
        </w:tc>
        <w:tc>
          <w:tcPr>
            <w:tcW w:w="7719" w:type="dxa"/>
            <w:noWrap w:val="0"/>
            <w:vAlign w:val="top"/>
          </w:tcPr>
          <w:p>
            <w:pPr>
              <w:spacing w:line="240" w:lineRule="auto"/>
              <w:ind w:left="210" w:leftChars="100" w:firstLine="0" w:firstLineChars="0"/>
              <w:jc w:val="center"/>
              <w:rPr>
                <w:rFonts w:ascii="宋体" w:hAnsi="宋体" w:cs="宋体"/>
                <w:b/>
                <w:bCs/>
                <w:color w:val="auto"/>
                <w:kern w:val="2"/>
                <w:highlight w:val="none"/>
                <w:lang w:eastAsia="zh-CN"/>
              </w:rPr>
            </w:pPr>
            <w:r>
              <w:rPr>
                <w:rFonts w:hint="eastAsia" w:ascii="宋体" w:hAnsi="宋体" w:cs="宋体"/>
                <w:b/>
                <w:bCs/>
                <w:color w:val="auto"/>
                <w:kern w:val="2"/>
                <w:highlight w:val="none"/>
                <w:lang w:eastAsia="zh-CN"/>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840"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2"/>
                <w:highlight w:val="none"/>
              </w:rPr>
            </w:pPr>
            <w:r>
              <w:rPr>
                <w:rFonts w:hint="eastAsia" w:ascii="宋体" w:hAnsi="宋体"/>
                <w:color w:val="auto"/>
                <w:sz w:val="21"/>
                <w:szCs w:val="21"/>
                <w:highlight w:val="none"/>
              </w:rPr>
              <w:t>2.2.1</w:t>
            </w:r>
          </w:p>
        </w:tc>
        <w:tc>
          <w:tcPr>
            <w:tcW w:w="1305"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13" w:firstLine="0" w:firstLineChars="0"/>
              <w:jc w:val="center"/>
              <w:textAlignment w:val="auto"/>
              <w:rPr>
                <w:color w:val="auto"/>
                <w:highlight w:val="none"/>
                <w:lang w:eastAsia="zh-CN"/>
              </w:rPr>
            </w:pPr>
            <w:r>
              <w:rPr>
                <w:rFonts w:hint="eastAsia" w:ascii="宋体" w:hAnsi="宋体" w:cs="仿宋"/>
                <w:color w:val="auto"/>
                <w:sz w:val="21"/>
                <w:szCs w:val="21"/>
                <w:highlight w:val="none"/>
              </w:rPr>
              <w:t>第一个信封评分分值构成（总分100分）</w:t>
            </w:r>
          </w:p>
        </w:tc>
        <w:tc>
          <w:tcPr>
            <w:tcW w:w="7719"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color w:val="auto"/>
                <w:sz w:val="21"/>
                <w:highlight w:val="none"/>
                <w:lang w:eastAsia="zh-CN"/>
              </w:rPr>
            </w:pPr>
            <w:r>
              <w:rPr>
                <w:rFonts w:hint="eastAsia" w:ascii="Times New Roman" w:hAnsi="Times New Roman" w:cs="Times New Roman"/>
                <w:color w:val="auto"/>
                <w:sz w:val="21"/>
                <w:highlight w:val="none"/>
                <w:lang w:eastAsia="zh-CN"/>
              </w:rPr>
              <w:t>施工组织设计：</w:t>
            </w:r>
            <w:r>
              <w:rPr>
                <w:rFonts w:hint="eastAsia" w:ascii="Times New Roman" w:hAnsi="Times New Roman" w:cs="Times New Roman"/>
                <w:color w:val="auto"/>
                <w:sz w:val="21"/>
                <w:highlight w:val="none"/>
                <w:u w:val="single"/>
                <w:lang w:eastAsia="zh-CN"/>
              </w:rPr>
              <w:t xml:space="preserve">40 </w:t>
            </w:r>
            <w:r>
              <w:rPr>
                <w:rFonts w:hint="eastAsia" w:ascii="Times New Roman" w:hAnsi="Times New Roman" w:cs="Times New Roman"/>
                <w:color w:val="auto"/>
                <w:sz w:val="21"/>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color w:val="auto"/>
                <w:sz w:val="21"/>
                <w:highlight w:val="none"/>
                <w:lang w:eastAsia="zh-CN"/>
              </w:rPr>
            </w:pPr>
            <w:r>
              <w:rPr>
                <w:rFonts w:hint="eastAsia" w:ascii="Times New Roman" w:hAnsi="Times New Roman" w:cs="Times New Roman"/>
                <w:color w:val="auto"/>
                <w:sz w:val="21"/>
                <w:highlight w:val="none"/>
                <w:lang w:eastAsia="zh-CN"/>
              </w:rPr>
              <w:t>主要人员：</w:t>
            </w:r>
            <w:r>
              <w:rPr>
                <w:rFonts w:hint="eastAsia" w:ascii="Times New Roman" w:hAnsi="Times New Roman" w:cs="Times New Roman"/>
                <w:color w:val="auto"/>
                <w:sz w:val="21"/>
                <w:highlight w:val="none"/>
                <w:u w:val="single"/>
                <w:lang w:val="en-US" w:eastAsia="zh-CN"/>
              </w:rPr>
              <w:t>25</w:t>
            </w:r>
            <w:r>
              <w:rPr>
                <w:rFonts w:hint="eastAsia" w:ascii="Times New Roman" w:hAnsi="Times New Roman" w:cs="Times New Roman"/>
                <w:color w:val="auto"/>
                <w:sz w:val="21"/>
                <w:highlight w:val="none"/>
                <w:u w:val="single"/>
                <w:lang w:eastAsia="zh-CN"/>
              </w:rPr>
              <w:t xml:space="preserve"> </w:t>
            </w:r>
            <w:r>
              <w:rPr>
                <w:rFonts w:hint="eastAsia" w:ascii="Times New Roman" w:hAnsi="Times New Roman" w:cs="Times New Roman"/>
                <w:color w:val="auto"/>
                <w:sz w:val="21"/>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color w:val="auto"/>
                <w:sz w:val="21"/>
                <w:highlight w:val="none"/>
                <w:lang w:eastAsia="zh-CN"/>
              </w:rPr>
            </w:pPr>
            <w:r>
              <w:rPr>
                <w:rFonts w:hint="eastAsia" w:ascii="Times New Roman" w:hAnsi="Times New Roman" w:cs="Times New Roman"/>
                <w:color w:val="auto"/>
                <w:sz w:val="21"/>
                <w:highlight w:val="none"/>
                <w:lang w:eastAsia="zh-CN"/>
              </w:rPr>
              <w:t>履约信誉：</w:t>
            </w:r>
            <w:r>
              <w:rPr>
                <w:rFonts w:hint="eastAsia" w:ascii="Times New Roman" w:hAnsi="Times New Roman" w:cs="Times New Roman"/>
                <w:color w:val="auto"/>
                <w:sz w:val="21"/>
                <w:highlight w:val="none"/>
                <w:u w:val="single"/>
                <w:lang w:eastAsia="zh-CN"/>
              </w:rPr>
              <w:t>1</w:t>
            </w:r>
            <w:r>
              <w:rPr>
                <w:rFonts w:hint="eastAsia" w:ascii="Times New Roman" w:hAnsi="Times New Roman" w:cs="Times New Roman"/>
                <w:color w:val="auto"/>
                <w:sz w:val="21"/>
                <w:highlight w:val="none"/>
                <w:u w:val="single"/>
                <w:lang w:val="en-US" w:eastAsia="zh-CN"/>
              </w:rPr>
              <w:t>5</w:t>
            </w:r>
            <w:r>
              <w:rPr>
                <w:rFonts w:hint="eastAsia" w:ascii="Times New Roman" w:hAnsi="Times New Roman" w:cs="Times New Roman"/>
                <w:color w:val="auto"/>
                <w:sz w:val="21"/>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hint="eastAsia" w:ascii="Times New Roman" w:hAnsi="Times New Roman" w:cs="Times New Roman"/>
                <w:color w:val="auto"/>
                <w:sz w:val="21"/>
                <w:highlight w:val="none"/>
                <w:lang w:eastAsia="zh-CN"/>
              </w:rPr>
            </w:pPr>
            <w:r>
              <w:rPr>
                <w:rFonts w:hint="eastAsia" w:ascii="Times New Roman" w:hAnsi="Times New Roman" w:cs="Times New Roman"/>
                <w:color w:val="auto"/>
                <w:sz w:val="21"/>
                <w:highlight w:val="none"/>
                <w:lang w:val="en-US" w:eastAsia="zh-CN"/>
              </w:rPr>
              <w:t>企业</w:t>
            </w:r>
            <w:r>
              <w:rPr>
                <w:rFonts w:hint="eastAsia" w:ascii="Times New Roman" w:hAnsi="Times New Roman" w:cs="Times New Roman"/>
                <w:color w:val="auto"/>
                <w:sz w:val="21"/>
                <w:highlight w:val="none"/>
                <w:lang w:eastAsia="zh-CN"/>
              </w:rPr>
              <w:t>业绩：</w:t>
            </w:r>
            <w:r>
              <w:rPr>
                <w:rFonts w:hint="eastAsia" w:ascii="Times New Roman" w:hAnsi="Times New Roman" w:cs="Times New Roman"/>
                <w:color w:val="auto"/>
                <w:sz w:val="21"/>
                <w:highlight w:val="none"/>
                <w:u w:val="single"/>
                <w:lang w:val="en-US" w:eastAsia="zh-CN"/>
              </w:rPr>
              <w:t>20</w:t>
            </w:r>
            <w:r>
              <w:rPr>
                <w:rFonts w:hint="eastAsia" w:ascii="Times New Roman" w:hAnsi="Times New Roman" w:cs="Times New Roman"/>
                <w:color w:val="auto"/>
                <w:sz w:val="21"/>
                <w:highlight w:val="none"/>
                <w:u w:val="single"/>
                <w:lang w:eastAsia="zh-CN"/>
              </w:rPr>
              <w:t xml:space="preserve"> </w:t>
            </w:r>
            <w:r>
              <w:rPr>
                <w:rFonts w:hint="eastAsia" w:ascii="Times New Roman" w:hAnsi="Times New Roman" w:cs="Times New Roman"/>
                <w:color w:val="auto"/>
                <w:sz w:val="21"/>
                <w:highlight w:val="none"/>
                <w:lang w:eastAsia="zh-CN"/>
              </w:rPr>
              <w:t>分</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rFonts w:ascii="Times New Roman" w:hAnsi="Times New Roman" w:cs="Times New Roman"/>
                <w:color w:val="auto"/>
                <w:sz w:val="21"/>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5" w:hRule="atLeast"/>
          <w:jc w:val="center"/>
        </w:trPr>
        <w:tc>
          <w:tcPr>
            <w:tcW w:w="840"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2"/>
                <w:highlight w:val="none"/>
                <w:lang w:eastAsia="zh-CN"/>
              </w:rPr>
            </w:pPr>
            <w:r>
              <w:rPr>
                <w:rFonts w:hint="eastAsia" w:ascii="宋体" w:hAnsi="宋体" w:cs="仿宋"/>
                <w:color w:val="auto"/>
                <w:sz w:val="21"/>
                <w:szCs w:val="21"/>
                <w:highlight w:val="none"/>
              </w:rPr>
              <w:t>2.2.3</w:t>
            </w:r>
          </w:p>
        </w:tc>
        <w:tc>
          <w:tcPr>
            <w:tcW w:w="1305"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13" w:firstLine="0" w:firstLineChars="0"/>
              <w:jc w:val="center"/>
              <w:textAlignment w:val="auto"/>
              <w:rPr>
                <w:color w:val="auto"/>
                <w:highlight w:val="none"/>
                <w:lang w:eastAsia="zh-CN"/>
              </w:rPr>
            </w:pPr>
            <w:r>
              <w:rPr>
                <w:rFonts w:hint="eastAsia" w:ascii="宋体" w:hAnsi="宋体" w:cs="仿宋"/>
                <w:color w:val="auto"/>
                <w:sz w:val="21"/>
                <w:szCs w:val="21"/>
                <w:highlight w:val="none"/>
              </w:rPr>
              <w:t>第二个信封详细评审标准</w:t>
            </w:r>
          </w:p>
        </w:tc>
        <w:tc>
          <w:tcPr>
            <w:tcW w:w="7719"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113" w:firstLine="0" w:firstLineChars="0"/>
              <w:textAlignment w:val="auto"/>
              <w:rPr>
                <w:rFonts w:hint="eastAsia" w:ascii="宋体" w:hAnsi="宋体" w:cs="仿宋"/>
                <w:b/>
                <w:bCs/>
                <w:color w:val="auto"/>
                <w:sz w:val="21"/>
                <w:szCs w:val="21"/>
                <w:highlight w:val="none"/>
              </w:rPr>
            </w:pPr>
            <w:r>
              <w:rPr>
                <w:rFonts w:hint="eastAsia" w:ascii="宋体" w:hAnsi="宋体" w:cs="仿宋"/>
                <w:b/>
                <w:bCs/>
                <w:color w:val="auto"/>
                <w:sz w:val="21"/>
                <w:szCs w:val="21"/>
                <w:highlight w:val="none"/>
              </w:rPr>
              <w:t xml:space="preserve">评标价计算公式：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textAlignment w:val="auto"/>
              <w:rPr>
                <w:color w:val="auto"/>
                <w:sz w:val="20"/>
                <w:highlight w:val="none"/>
                <w:lang w:eastAsia="zh-CN"/>
              </w:rPr>
            </w:pPr>
            <w:r>
              <w:rPr>
                <w:rFonts w:hint="eastAsia" w:ascii="宋体" w:hAnsi="宋体" w:cs="仿宋"/>
                <w:color w:val="auto"/>
                <w:sz w:val="21"/>
                <w:szCs w:val="21"/>
                <w:highlight w:val="none"/>
              </w:rPr>
              <w:t>评标价=投标函文字报价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jc w:val="center"/>
        </w:trPr>
        <w:tc>
          <w:tcPr>
            <w:tcW w:w="840"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宋体" w:hAnsi="宋体" w:cs="宋体"/>
                <w:color w:val="auto"/>
                <w:kern w:val="2"/>
                <w:highlight w:val="none"/>
              </w:rPr>
            </w:pPr>
            <w:r>
              <w:rPr>
                <w:rFonts w:hint="eastAsia" w:ascii="宋体" w:hAnsi="宋体" w:cs="仿宋"/>
                <w:color w:val="auto"/>
                <w:sz w:val="21"/>
                <w:szCs w:val="21"/>
                <w:highlight w:val="none"/>
              </w:rPr>
              <w:t>3.2.4</w:t>
            </w:r>
          </w:p>
        </w:tc>
        <w:tc>
          <w:tcPr>
            <w:tcW w:w="1305"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auto"/>
                <w:highlight w:val="none"/>
                <w:lang w:eastAsia="zh-CN"/>
              </w:rPr>
            </w:pPr>
            <w:r>
              <w:rPr>
                <w:rFonts w:hint="eastAsia" w:ascii="宋体" w:hAnsi="宋体" w:cs="仿宋"/>
                <w:color w:val="auto"/>
                <w:sz w:val="21"/>
                <w:szCs w:val="21"/>
                <w:highlight w:val="none"/>
              </w:rPr>
              <w:t>通过第一个 信封详细评审的投标人数量</w:t>
            </w:r>
          </w:p>
        </w:tc>
        <w:tc>
          <w:tcPr>
            <w:tcW w:w="7719" w:type="dxa"/>
            <w:noWrap w:val="0"/>
            <w:tcMar>
              <w:top w:w="0" w:type="dxa"/>
              <w:left w:w="113" w:type="dxa"/>
              <w:bottom w:w="0" w:type="dxa"/>
              <w:right w:w="1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color w:val="auto"/>
                <w:sz w:val="21"/>
                <w:highlight w:val="none"/>
                <w:lang w:eastAsia="zh-CN"/>
              </w:rPr>
            </w:pPr>
            <w:r>
              <w:rPr>
                <w:rFonts w:hint="eastAsia" w:ascii="宋体" w:hAnsi="宋体" w:cs="仿宋"/>
                <w:color w:val="auto"/>
                <w:sz w:val="21"/>
                <w:szCs w:val="21"/>
                <w:highlight w:val="none"/>
              </w:rPr>
              <w:t>按照投标人的商务和技术得分由高到低排序，选择前</w:t>
            </w:r>
            <w:r>
              <w:rPr>
                <w:rFonts w:hint="eastAsia" w:ascii="宋体" w:hAnsi="宋体" w:cs="仿宋"/>
                <w:color w:val="auto"/>
                <w:sz w:val="21"/>
                <w:szCs w:val="21"/>
                <w:highlight w:val="none"/>
                <w:u w:val="single"/>
              </w:rPr>
              <w:t xml:space="preserve"> </w:t>
            </w:r>
            <w:r>
              <w:rPr>
                <w:rFonts w:ascii="宋体" w:hAnsi="宋体" w:cs="仿宋"/>
                <w:color w:val="auto"/>
                <w:sz w:val="21"/>
                <w:szCs w:val="21"/>
                <w:highlight w:val="none"/>
                <w:u w:val="single"/>
              </w:rPr>
              <w:t xml:space="preserve"> </w:t>
            </w:r>
            <w:r>
              <w:rPr>
                <w:rFonts w:hint="eastAsia" w:ascii="宋体" w:hAnsi="宋体" w:cs="仿宋"/>
                <w:color w:val="auto"/>
                <w:sz w:val="21"/>
                <w:szCs w:val="21"/>
                <w:highlight w:val="none"/>
                <w:u w:val="single"/>
                <w:lang w:val="en-US" w:eastAsia="zh-CN"/>
              </w:rPr>
              <w:t>3</w:t>
            </w:r>
            <w:r>
              <w:rPr>
                <w:rFonts w:hint="eastAsia" w:ascii="宋体" w:hAnsi="宋体" w:cs="仿宋"/>
                <w:color w:val="auto"/>
                <w:sz w:val="21"/>
                <w:szCs w:val="21"/>
                <w:highlight w:val="none"/>
                <w:u w:val="single"/>
              </w:rPr>
              <w:t xml:space="preserve"> </w:t>
            </w:r>
            <w:r>
              <w:rPr>
                <w:rFonts w:hint="eastAsia" w:ascii="宋体" w:hAnsi="宋体" w:cs="仿宋"/>
                <w:color w:val="auto"/>
                <w:sz w:val="21"/>
                <w:szCs w:val="21"/>
                <w:highlight w:val="none"/>
              </w:rPr>
              <w:t>名通过详细评审。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jc w:val="center"/>
        </w:trPr>
        <w:tc>
          <w:tcPr>
            <w:tcW w:w="840" w:type="dxa"/>
            <w:noWrap w:val="0"/>
            <w:tcMar>
              <w:top w:w="0"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r>
              <w:rPr>
                <w:rFonts w:hint="eastAsia" w:ascii="宋体" w:hAnsi="宋体" w:cs="仿宋"/>
                <w:color w:val="auto"/>
                <w:sz w:val="21"/>
                <w:szCs w:val="21"/>
                <w:highlight w:val="none"/>
                <w:lang w:val="en-US" w:eastAsia="zh-CN"/>
              </w:rPr>
              <w:t>3.6.1</w:t>
            </w:r>
          </w:p>
        </w:tc>
        <w:tc>
          <w:tcPr>
            <w:tcW w:w="1305" w:type="dxa"/>
            <w:noWrap w:val="0"/>
            <w:tcMar>
              <w:top w:w="0" w:type="dxa"/>
              <w:left w:w="113" w:type="dxa"/>
              <w:bottom w:w="0" w:type="dxa"/>
              <w:right w:w="113" w:type="dxa"/>
            </w:tcMar>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仿宋"/>
                <w:color w:val="auto"/>
                <w:sz w:val="21"/>
                <w:szCs w:val="21"/>
                <w:highlight w:val="none"/>
                <w:lang w:val="en-US" w:eastAsia="zh-CN"/>
              </w:rPr>
            </w:pPr>
            <w:r>
              <w:rPr>
                <w:rFonts w:hint="eastAsia" w:ascii="宋体" w:hAnsi="宋体" w:cs="仿宋"/>
                <w:color w:val="auto"/>
                <w:sz w:val="21"/>
                <w:szCs w:val="21"/>
                <w:highlight w:val="none"/>
                <w:lang w:val="en-US" w:eastAsia="zh-CN"/>
              </w:rPr>
              <w:t>投标文件相关信息核查</w:t>
            </w:r>
          </w:p>
        </w:tc>
        <w:tc>
          <w:tcPr>
            <w:tcW w:w="7719" w:type="dxa"/>
            <w:noWrap w:val="0"/>
            <w:tcMar>
              <w:top w:w="0" w:type="dxa"/>
              <w:left w:w="113" w:type="dxa"/>
              <w:bottom w:w="0" w:type="dxa"/>
              <w:right w:w="113" w:type="dxa"/>
            </w:tcMar>
            <w:vAlign w:val="top"/>
          </w:tcPr>
          <w:p>
            <w:pPr>
              <w:pStyle w:val="11"/>
              <w:jc w:val="left"/>
              <w:rPr>
                <w:color w:val="auto"/>
                <w:sz w:val="20"/>
                <w:highlight w:val="none"/>
                <w:lang w:eastAsia="zh-CN"/>
              </w:rPr>
            </w:pPr>
            <w:r>
              <w:rPr>
                <w:rFonts w:hint="eastAsia"/>
                <w:color w:val="auto"/>
                <w:sz w:val="20"/>
                <w:highlight w:val="none"/>
                <w:lang w:eastAsia="zh-CN"/>
              </w:rPr>
              <w:t>本条修改为：</w:t>
            </w:r>
          </w:p>
          <w:p>
            <w:pPr>
              <w:pStyle w:val="11"/>
              <w:jc w:val="left"/>
              <w:rPr>
                <w:color w:val="auto"/>
                <w:sz w:val="20"/>
                <w:highlight w:val="none"/>
                <w:lang w:eastAsia="zh-CN"/>
              </w:rPr>
            </w:pPr>
            <w:r>
              <w:rPr>
                <w:rFonts w:hint="eastAsia"/>
                <w:color w:val="auto"/>
                <w:sz w:val="20"/>
                <w:highlight w:val="none"/>
                <w:lang w:eastAsia="zh-CN"/>
              </w:rPr>
              <w:t>在评标过程中，评标委员会应对以下信息进行查询：</w:t>
            </w:r>
          </w:p>
          <w:p>
            <w:pPr>
              <w:pStyle w:val="6"/>
              <w:spacing w:line="240" w:lineRule="auto"/>
              <w:ind w:firstLine="0" w:firstLineChars="0"/>
              <w:rPr>
                <w:rFonts w:hint="eastAsia" w:ascii="宋体" w:hAnsi="宋体" w:cs="宋体"/>
                <w:color w:val="auto"/>
                <w:kern w:val="2"/>
                <w:sz w:val="20"/>
                <w:highlight w:val="none"/>
                <w:lang w:eastAsia="zh-CN"/>
              </w:rPr>
            </w:pPr>
            <w:r>
              <w:rPr>
                <w:rFonts w:hint="eastAsia" w:ascii="宋体" w:hAnsi="宋体" w:cs="宋体"/>
                <w:color w:val="auto"/>
                <w:kern w:val="2"/>
                <w:sz w:val="20"/>
                <w:highlight w:val="none"/>
                <w:lang w:eastAsia="zh-CN"/>
              </w:rPr>
              <w:t>（1）投标人名称和资质与“全国公路建设市场监督管理系统（https://hwdms.mot.gov.cn/BMWebSite/）”的复核结果一致；</w:t>
            </w:r>
          </w:p>
          <w:p>
            <w:pPr>
              <w:pStyle w:val="6"/>
              <w:spacing w:line="240" w:lineRule="auto"/>
              <w:ind w:firstLine="0" w:firstLineChars="0"/>
              <w:rPr>
                <w:rFonts w:hint="eastAsia" w:ascii="宋体" w:hAnsi="宋体" w:cs="宋体"/>
                <w:color w:val="auto"/>
                <w:kern w:val="2"/>
                <w:sz w:val="20"/>
                <w:highlight w:val="none"/>
                <w:lang w:val="en-US" w:eastAsia="zh-CN"/>
              </w:rPr>
            </w:pPr>
            <w:r>
              <w:rPr>
                <w:rFonts w:hint="eastAsia" w:ascii="宋体" w:hAnsi="宋体" w:cs="宋体"/>
                <w:color w:val="auto"/>
                <w:kern w:val="2"/>
                <w:sz w:val="20"/>
                <w:highlight w:val="none"/>
                <w:lang w:val="en-US" w:eastAsia="zh-CN"/>
              </w:rPr>
              <w:t>（2）投标人的类似项目业绩详细信息网页截图的内容与“全国公路建设市场监督管理系统（https://hwdms.mot.gov.cn/BMWebSite/）”的复核结果一致；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val="en-US" w:eastAsia="zh-CN"/>
              </w:rPr>
            </w:pPr>
            <w:r>
              <w:rPr>
                <w:rFonts w:hint="eastAsia" w:ascii="宋体" w:hAnsi="宋体" w:eastAsia="宋体" w:cs="宋体"/>
                <w:snapToGrid w:val="0"/>
                <w:color w:val="auto"/>
                <w:kern w:val="2"/>
                <w:sz w:val="20"/>
                <w:szCs w:val="21"/>
                <w:highlight w:val="none"/>
                <w:lang w:val="en-US" w:eastAsia="zh-CN" w:bidi="ar-SA"/>
              </w:rPr>
              <w:t>（3）所附项目经理一级注册建造师信息的网页截图复印件与“全国建筑市场监管公共服务平台（http://jzsc.mohurd.gov.cn/）”核查的结果一致；所附项目经理的安全生产考核合格证的网页截图复印件与“交通运输部公路水运工程企业负责人和安全生产管理人员信息公共平台查询网站（http://219.143.235.78:8080/khglui/）”核查的结果一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t>（4）投标人信用情况网页截图内容与在“国家企业信用信息公示系统”中严重违法失信企业名单（均不含分公司）或在“信用中国”网站未被列入失信被执行人名单、经营异常名录、重大税收违法失信主体、政府采购严重违法失信名单（均不含分公司）的复核结果一致。</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t>前述（1）、（2）、（3）、（4）项如投标人未提供相关网页截图或所附截图与核结果不一致导致不能满足资格评审要求的，评标委员会应否决其投标。</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cs="宋体"/>
                <w:color w:val="auto"/>
                <w:kern w:val="2"/>
                <w:highlight w:val="none"/>
                <w:lang w:val="en-US" w:eastAsia="zh-CN"/>
              </w:rPr>
            </w:pPr>
            <w:r>
              <w:rPr>
                <w:rFonts w:hint="eastAsia" w:ascii="宋体" w:hAnsi="宋体" w:cs="宋体"/>
                <w:color w:val="auto"/>
                <w:kern w:val="2"/>
                <w:highlight w:val="none"/>
                <w:lang w:val="en-US"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color w:val="auto"/>
                <w:sz w:val="20"/>
                <w:highlight w:val="none"/>
                <w:lang w:eastAsia="zh-CN"/>
              </w:rPr>
            </w:pPr>
            <w:r>
              <w:rPr>
                <w:rFonts w:hint="eastAsia" w:ascii="宋体" w:hAnsi="宋体" w:cs="宋体"/>
                <w:color w:val="auto"/>
                <w:kern w:val="2"/>
                <w:highlight w:val="none"/>
                <w:lang w:val="en-US" w:eastAsia="zh-CN"/>
              </w:rPr>
              <w:t>（5）评标委员会在评标时按照投标人提供的验证方式对电子保证保险保函进行验证。如投标人未提供保证保险保函在线验证方式，或提供根据验证方式无法核实的，评标委员会应否决其投标。</w:t>
            </w:r>
          </w:p>
        </w:tc>
      </w:tr>
    </w:tbl>
    <w:p>
      <w:pPr>
        <w:rPr>
          <w:rFonts w:ascii="宋体" w:hAnsi="宋体" w:cs="宋体"/>
          <w:color w:val="auto"/>
          <w:kern w:val="2"/>
          <w:highlight w:val="none"/>
          <w:lang w:eastAsia="zh-CN"/>
        </w:rPr>
      </w:pPr>
    </w:p>
    <w:tbl>
      <w:tblPr>
        <w:tblStyle w:val="12"/>
        <w:tblW w:w="94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5"/>
        <w:gridCol w:w="1202"/>
        <w:gridCol w:w="1084"/>
        <w:gridCol w:w="1414"/>
        <w:gridCol w:w="903"/>
        <w:gridCol w:w="38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jc w:val="center"/>
        </w:trPr>
        <w:tc>
          <w:tcPr>
            <w:tcW w:w="5598" w:type="dxa"/>
            <w:gridSpan w:val="5"/>
            <w:tcBorders>
              <w:top w:val="single" w:color="000000" w:sz="10" w:space="0"/>
              <w:left w:val="single" w:color="000000" w:sz="10" w:space="0"/>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评分因素与权重分值</w:t>
            </w:r>
          </w:p>
        </w:tc>
        <w:tc>
          <w:tcPr>
            <w:tcW w:w="3848" w:type="dxa"/>
            <w:vMerge w:val="restart"/>
            <w:tcBorders>
              <w:top w:val="single" w:color="000000" w:sz="10" w:space="0"/>
              <w:left w:val="single" w:color="000000" w:sz="2" w:space="0"/>
              <w:bottom w:val="nil"/>
              <w:righ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95" w:type="dxa"/>
            <w:tcBorders>
              <w:lef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条款号</w:t>
            </w:r>
          </w:p>
        </w:tc>
        <w:tc>
          <w:tcPr>
            <w:tcW w:w="1202" w:type="dxa"/>
            <w:tcBorders>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评分因素</w:t>
            </w:r>
          </w:p>
        </w:tc>
        <w:tc>
          <w:tcPr>
            <w:tcW w:w="1084" w:type="dxa"/>
            <w:tcBorders>
              <w:lef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评分因素权重分值</w:t>
            </w:r>
          </w:p>
        </w:tc>
        <w:tc>
          <w:tcPr>
            <w:tcW w:w="1414" w:type="dxa"/>
            <w:tcBorders>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各评分因素细分项</w:t>
            </w:r>
          </w:p>
        </w:tc>
        <w:tc>
          <w:tcPr>
            <w:tcW w:w="903" w:type="dxa"/>
            <w:tcBorders>
              <w:left w:val="single" w:color="000000" w:sz="2" w:space="0"/>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分值</w:t>
            </w:r>
          </w:p>
        </w:tc>
        <w:tc>
          <w:tcPr>
            <w:tcW w:w="3848" w:type="dxa"/>
            <w:vMerge w:val="continue"/>
            <w:tcBorders>
              <w:top w:val="nil"/>
              <w:left w:val="single" w:color="000000" w:sz="2" w:space="0"/>
              <w:righ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95" w:type="dxa"/>
            <w:vMerge w:val="restart"/>
            <w:tcBorders>
              <w:lef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2.2.4</w:t>
            </w:r>
          </w:p>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(1)</w:t>
            </w:r>
          </w:p>
        </w:tc>
        <w:tc>
          <w:tcPr>
            <w:tcW w:w="1202" w:type="dxa"/>
            <w:vMerge w:val="restart"/>
            <w:tcBorders>
              <w:right w:val="single" w:color="000000" w:sz="2" w:space="0"/>
            </w:tcBorders>
            <w:noWrap w:val="0"/>
            <w:tcMar>
              <w:top w:w="0" w:type="dxa"/>
              <w:left w:w="113" w:type="dxa"/>
              <w:bottom w:w="0" w:type="dxa"/>
              <w:right w:w="113" w:type="dxa"/>
            </w:tcMar>
            <w:vAlign w:val="center"/>
          </w:tcPr>
          <w:p>
            <w:pPr>
              <w:pStyle w:val="11"/>
              <w:rPr>
                <w:rFonts w:hint="default"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施工组织设计</w:t>
            </w:r>
          </w:p>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（暗标）</w:t>
            </w:r>
          </w:p>
        </w:tc>
        <w:tc>
          <w:tcPr>
            <w:tcW w:w="1084" w:type="dxa"/>
            <w:vMerge w:val="restart"/>
            <w:tcBorders>
              <w:lef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40 分</w:t>
            </w:r>
          </w:p>
        </w:tc>
        <w:tc>
          <w:tcPr>
            <w:tcW w:w="1414" w:type="dxa"/>
            <w:vMerge w:val="restart"/>
            <w:tcBorders>
              <w:bottom w:val="nil"/>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施工组织布置及规划</w:t>
            </w:r>
          </w:p>
        </w:tc>
        <w:tc>
          <w:tcPr>
            <w:tcW w:w="903" w:type="dxa"/>
            <w:vMerge w:val="restart"/>
            <w:tcBorders>
              <w:left w:val="single" w:color="000000" w:sz="2" w:space="0"/>
              <w:bottom w:val="nil"/>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8</w:t>
            </w: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内容满足要求，规划一般，得4.8-6分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left w:val="single" w:color="000000" w:sz="2" w:space="0"/>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内容较具体、较齐全，规划较合理，得 6-7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top w:val="nil"/>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top w:val="nil"/>
              <w:left w:val="single" w:color="000000" w:sz="2" w:space="0"/>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内容齐全，规划合理，得7-8分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restart"/>
            <w:tcBorders>
              <w:bottom w:val="nil"/>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施工方案</w:t>
            </w:r>
          </w:p>
        </w:tc>
        <w:tc>
          <w:tcPr>
            <w:tcW w:w="903" w:type="dxa"/>
            <w:vMerge w:val="restart"/>
            <w:tcBorders>
              <w:left w:val="single" w:color="000000" w:sz="2" w:space="0"/>
              <w:bottom w:val="nil"/>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8</w:t>
            </w: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方案一般，得4.8-6分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left w:val="single" w:color="000000" w:sz="2" w:space="0"/>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方案较具体、较齐全、较合理，得6-7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top w:val="nil"/>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top w:val="nil"/>
              <w:left w:val="single" w:color="000000" w:sz="2" w:space="0"/>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方案具体、齐全，可操作性强，配备合理，得7-8分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restart"/>
            <w:tcBorders>
              <w:top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工程质量管理体系及保证措施</w:t>
            </w:r>
          </w:p>
        </w:tc>
        <w:tc>
          <w:tcPr>
            <w:tcW w:w="903" w:type="dxa"/>
            <w:vMerge w:val="restart"/>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8</w:t>
            </w: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措施一般，得4.8-6分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right w:val="single" w:color="000000" w:sz="4"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left w:val="single" w:color="000000" w:sz="4" w:space="0"/>
              <w:right w:val="single" w:color="000000" w:sz="4"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措施较具体、较齐全、较合理，得6-7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exac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top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措施具体、齐全、合理，得7-8分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vMerge w:val="restart"/>
            <w:tcBorders>
              <w:top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安全生产保证措施及事故应急预案</w:t>
            </w:r>
          </w:p>
        </w:tc>
        <w:tc>
          <w:tcPr>
            <w:tcW w:w="903" w:type="dxa"/>
            <w:vMerge w:val="restart"/>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jc w:val="center"/>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8</w:t>
            </w: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措施一般，得4.8-6分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left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措施较具体、较齐全、较合理，得6-7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top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top w:val="single" w:color="000000" w:sz="4" w:space="0"/>
              <w:left w:val="single" w:color="000000" w:sz="4" w:space="0"/>
              <w:bottom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措施具体、齐全、合理，得7-8分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vMerge w:val="restart"/>
            <w:tcBorders>
              <w:top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环境保护、文明施工保证措施</w:t>
            </w:r>
          </w:p>
        </w:tc>
        <w:tc>
          <w:tcPr>
            <w:tcW w:w="903" w:type="dxa"/>
            <w:vMerge w:val="restart"/>
            <w:tcBorders>
              <w:top w:val="single" w:color="000000" w:sz="4" w:space="0"/>
              <w:left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jc w:val="center"/>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8</w:t>
            </w: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措施一般，得4.8-6分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left w:val="single" w:color="000000" w:sz="4"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内容较具体、较齐全，操作性较强，得6-7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jc w:val="center"/>
        </w:trPr>
        <w:tc>
          <w:tcPr>
            <w:tcW w:w="995" w:type="dxa"/>
            <w:vMerge w:val="continue"/>
            <w:tcBorders>
              <w:left w:val="single" w:color="000000" w:sz="10"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202"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vMerge w:val="continue"/>
            <w:tcBorders>
              <w:right w:val="single" w:color="000000" w:sz="2"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903" w:type="dxa"/>
            <w:vMerge w:val="continue"/>
            <w:tcBorders>
              <w:left w:val="single" w:color="000000" w:sz="2" w:space="0"/>
              <w:right w:val="single" w:color="000000" w:sz="4" w:space="0"/>
            </w:tcBorders>
            <w:noWrap w:val="0"/>
            <w:tcMar>
              <w:top w:w="0" w:type="dxa"/>
              <w:left w:w="113" w:type="dxa"/>
              <w:bottom w:w="0" w:type="dxa"/>
              <w:right w:w="113" w:type="dxa"/>
            </w:tcMar>
            <w:vAlign w:val="center"/>
          </w:tcPr>
          <w:p>
            <w:pPr>
              <w:spacing w:line="300" w:lineRule="exact"/>
              <w:ind w:firstLine="0" w:firstLineChars="0"/>
              <w:rPr>
                <w:rFonts w:hint="eastAsia" w:ascii="宋体" w:hAnsi="宋体" w:eastAsia="宋体" w:cs="宋体"/>
                <w:snapToGrid w:val="0"/>
                <w:color w:val="auto"/>
                <w:kern w:val="2"/>
                <w:sz w:val="20"/>
                <w:szCs w:val="21"/>
                <w:highlight w:val="none"/>
                <w:lang w:val="en-US" w:eastAsia="zh-CN" w:bidi="ar-SA"/>
              </w:rPr>
            </w:pPr>
          </w:p>
        </w:tc>
        <w:tc>
          <w:tcPr>
            <w:tcW w:w="3848" w:type="dxa"/>
            <w:tcBorders>
              <w:left w:val="single" w:color="000000" w:sz="4" w:space="0"/>
              <w:right w:val="single" w:color="000000" w:sz="10" w:space="0"/>
            </w:tcBorders>
            <w:noWrap w:val="0"/>
            <w:tcMar>
              <w:top w:w="0" w:type="dxa"/>
              <w:left w:w="113" w:type="dxa"/>
              <w:bottom w:w="0" w:type="dxa"/>
              <w:right w:w="113" w:type="dxa"/>
            </w:tcMar>
            <w:vAlign w:val="center"/>
          </w:tcPr>
          <w:p>
            <w:pPr>
              <w:spacing w:line="300" w:lineRule="exact"/>
              <w:ind w:firstLine="0" w:firstLineChars="0"/>
              <w:rPr>
                <w:rFonts w:hint="default"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内容齐全，规划合理，操作性强，得7-8分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995" w:type="dxa"/>
            <w:tcBorders>
              <w:left w:val="single" w:color="000000" w:sz="10"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2.2.4</w:t>
            </w:r>
          </w:p>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w:t>
            </w:r>
          </w:p>
        </w:tc>
        <w:tc>
          <w:tcPr>
            <w:tcW w:w="1202" w:type="dxa"/>
            <w:tcBorders>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主要人员</w:t>
            </w:r>
          </w:p>
        </w:tc>
        <w:tc>
          <w:tcPr>
            <w:tcW w:w="1084" w:type="dxa"/>
            <w:tcBorders>
              <w:lef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25分</w:t>
            </w:r>
          </w:p>
        </w:tc>
        <w:tc>
          <w:tcPr>
            <w:tcW w:w="1414" w:type="dxa"/>
            <w:tcBorders>
              <w:right w:val="single" w:color="000000" w:sz="2" w:space="0"/>
            </w:tcBorders>
            <w:noWrap w:val="0"/>
            <w:tcMar>
              <w:top w:w="0" w:type="dxa"/>
              <w:left w:w="113" w:type="dxa"/>
              <w:bottom w:w="0" w:type="dxa"/>
              <w:right w:w="113" w:type="dxa"/>
            </w:tcMar>
            <w:vAlign w:val="center"/>
          </w:tcPr>
          <w:p>
            <w:pPr>
              <w:pStyle w:val="11"/>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项目经理</w:t>
            </w:r>
          </w:p>
        </w:tc>
        <w:tc>
          <w:tcPr>
            <w:tcW w:w="903" w:type="dxa"/>
            <w:tcBorders>
              <w:left w:val="single" w:color="000000" w:sz="2" w:space="0"/>
              <w:right w:val="single" w:color="000000" w:sz="2" w:space="0"/>
            </w:tcBorders>
            <w:noWrap w:val="0"/>
            <w:tcMar>
              <w:top w:w="0" w:type="dxa"/>
              <w:left w:w="113" w:type="dxa"/>
              <w:bottom w:w="0" w:type="dxa"/>
              <w:right w:w="113" w:type="dxa"/>
            </w:tcMar>
            <w:vAlign w:val="center"/>
          </w:tcPr>
          <w:p>
            <w:pPr>
              <w:pStyle w:val="11"/>
              <w:rPr>
                <w:rFonts w:hint="default"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25</w:t>
            </w: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pStyle w:val="11"/>
              <w:jc w:val="both"/>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项目经理满足资格审查条件得15分；</w:t>
            </w:r>
          </w:p>
          <w:p>
            <w:pPr>
              <w:pStyle w:val="11"/>
              <w:jc w:val="both"/>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每增加一项目满足资格条件的业绩加10分，最多加10分；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995" w:type="dxa"/>
            <w:vMerge w:val="restart"/>
            <w:tcBorders>
              <w:top w:val="single" w:color="auto" w:sz="4" w:space="0"/>
              <w:left w:val="single" w:color="000000" w:sz="10" w:space="0"/>
            </w:tcBorders>
            <w:noWrap w:val="0"/>
            <w:tcMar>
              <w:top w:w="0" w:type="dxa"/>
              <w:left w:w="113" w:type="dxa"/>
              <w:bottom w:w="0" w:type="dxa"/>
              <w:right w:w="113" w:type="dxa"/>
            </w:tcMar>
            <w:vAlign w:val="center"/>
          </w:tcPr>
          <w:p>
            <w:pPr>
              <w:pStyle w:val="11"/>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2.2.4</w:t>
            </w:r>
          </w:p>
          <w:p>
            <w:pPr>
              <w:pStyle w:val="11"/>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(3)</w:t>
            </w:r>
          </w:p>
        </w:tc>
        <w:tc>
          <w:tcPr>
            <w:tcW w:w="1202" w:type="dxa"/>
            <w:vMerge w:val="restart"/>
            <w:tcBorders>
              <w:top w:val="single" w:color="auto" w:sz="4" w:space="0"/>
              <w:right w:val="single" w:color="auto" w:sz="4" w:space="0"/>
            </w:tcBorders>
            <w:noWrap w:val="0"/>
            <w:tcMar>
              <w:top w:w="0" w:type="dxa"/>
              <w:left w:w="113" w:type="dxa"/>
              <w:bottom w:w="0" w:type="dxa"/>
              <w:right w:w="113" w:type="dxa"/>
            </w:tcMar>
            <w:vAlign w:val="center"/>
          </w:tcPr>
          <w:p>
            <w:pPr>
              <w:pStyle w:val="11"/>
              <w:ind w:firstLine="0" w:firstLineChars="0"/>
              <w:rPr>
                <w:rFonts w:hint="default" w:ascii="宋体" w:hAnsi="宋体" w:eastAsia="宋体" w:cs="宋体"/>
                <w:snapToGrid w:val="0"/>
                <w:color w:val="auto"/>
                <w:kern w:val="2"/>
                <w:sz w:val="20"/>
                <w:szCs w:val="21"/>
                <w:highlight w:val="none"/>
                <w:lang w:val="en-US" w:eastAsia="zh-CN" w:bidi="ar-SA"/>
              </w:rPr>
            </w:pPr>
            <w:r>
              <w:rPr>
                <w:rFonts w:hint="eastAsia" w:cs="宋体"/>
                <w:snapToGrid w:val="0"/>
                <w:color w:val="auto"/>
                <w:kern w:val="2"/>
                <w:sz w:val="20"/>
                <w:szCs w:val="21"/>
                <w:highlight w:val="none"/>
                <w:lang w:val="en-US" w:eastAsia="zh-CN" w:bidi="ar-SA"/>
              </w:rPr>
              <w:t>其他因素</w:t>
            </w:r>
          </w:p>
        </w:tc>
        <w:tc>
          <w:tcPr>
            <w:tcW w:w="1084" w:type="dxa"/>
            <w:vMerge w:val="restart"/>
            <w:tcBorders>
              <w:top w:val="single" w:color="auto" w:sz="4" w:space="0"/>
              <w:left w:val="single" w:color="auto" w:sz="4" w:space="0"/>
            </w:tcBorders>
            <w:noWrap w:val="0"/>
            <w:tcMar>
              <w:top w:w="0" w:type="dxa"/>
              <w:left w:w="113" w:type="dxa"/>
              <w:bottom w:w="0" w:type="dxa"/>
              <w:right w:w="113" w:type="dxa"/>
            </w:tcMar>
            <w:vAlign w:val="center"/>
          </w:tcPr>
          <w:p>
            <w:pPr>
              <w:pStyle w:val="11"/>
              <w:ind w:firstLine="0" w:firstLineChars="0"/>
              <w:rPr>
                <w:rFonts w:hint="eastAsia" w:ascii="宋体" w:hAnsi="宋体" w:eastAsia="宋体" w:cs="宋体"/>
                <w:snapToGrid w:val="0"/>
                <w:color w:val="auto"/>
                <w:kern w:val="2"/>
                <w:sz w:val="20"/>
                <w:szCs w:val="21"/>
                <w:highlight w:val="none"/>
                <w:lang w:val="en-US" w:eastAsia="zh-CN" w:bidi="ar-SA"/>
              </w:rPr>
            </w:pPr>
            <w:r>
              <w:rPr>
                <w:rFonts w:hint="eastAsia" w:cs="宋体"/>
                <w:snapToGrid w:val="0"/>
                <w:color w:val="auto"/>
                <w:kern w:val="2"/>
                <w:sz w:val="20"/>
                <w:szCs w:val="21"/>
                <w:highlight w:val="none"/>
                <w:lang w:val="en-US" w:eastAsia="zh-CN" w:bidi="ar-SA"/>
              </w:rPr>
              <w:t>35</w:t>
            </w:r>
            <w:r>
              <w:rPr>
                <w:rFonts w:hint="eastAsia" w:ascii="宋体" w:hAnsi="宋体" w:eastAsia="宋体" w:cs="宋体"/>
                <w:snapToGrid w:val="0"/>
                <w:color w:val="auto"/>
                <w:kern w:val="2"/>
                <w:sz w:val="20"/>
                <w:szCs w:val="21"/>
                <w:highlight w:val="none"/>
                <w:lang w:val="en-US" w:eastAsia="zh-CN" w:bidi="ar-SA"/>
              </w:rPr>
              <w:t>分</w:t>
            </w:r>
          </w:p>
        </w:tc>
        <w:tc>
          <w:tcPr>
            <w:tcW w:w="1414" w:type="dxa"/>
            <w:tcBorders>
              <w:right w:val="single" w:color="000000" w:sz="2" w:space="0"/>
            </w:tcBorders>
            <w:noWrap w:val="0"/>
            <w:tcMar>
              <w:top w:w="0" w:type="dxa"/>
              <w:left w:w="113" w:type="dxa"/>
              <w:bottom w:w="0" w:type="dxa"/>
              <w:right w:w="113" w:type="dxa"/>
            </w:tcMar>
            <w:vAlign w:val="center"/>
          </w:tcPr>
          <w:p>
            <w:pPr>
              <w:pStyle w:val="11"/>
              <w:ind w:firstLine="0" w:firstLineChars="0"/>
              <w:rPr>
                <w:rFonts w:hint="default" w:ascii="宋体" w:hAnsi="宋体" w:eastAsia="宋体" w:cs="宋体"/>
                <w:snapToGrid w:val="0"/>
                <w:color w:val="auto"/>
                <w:kern w:val="2"/>
                <w:sz w:val="20"/>
                <w:szCs w:val="21"/>
                <w:highlight w:val="none"/>
                <w:lang w:val="en-US" w:eastAsia="zh-CN" w:bidi="ar-SA"/>
              </w:rPr>
            </w:pPr>
            <w:r>
              <w:rPr>
                <w:rFonts w:hint="eastAsia" w:cs="宋体"/>
                <w:snapToGrid w:val="0"/>
                <w:color w:val="auto"/>
                <w:kern w:val="2"/>
                <w:sz w:val="20"/>
                <w:szCs w:val="21"/>
                <w:highlight w:val="none"/>
                <w:lang w:val="en-US" w:eastAsia="zh-CN" w:bidi="ar-SA"/>
              </w:rPr>
              <w:t>履约信誉</w:t>
            </w:r>
          </w:p>
        </w:tc>
        <w:tc>
          <w:tcPr>
            <w:tcW w:w="903" w:type="dxa"/>
            <w:tcBorders>
              <w:left w:val="single" w:color="000000" w:sz="2" w:space="0"/>
              <w:right w:val="single" w:color="000000" w:sz="2" w:space="0"/>
            </w:tcBorders>
            <w:noWrap w:val="0"/>
            <w:tcMar>
              <w:top w:w="0" w:type="dxa"/>
              <w:left w:w="113" w:type="dxa"/>
              <w:bottom w:w="0" w:type="dxa"/>
              <w:right w:w="113" w:type="dxa"/>
            </w:tcMar>
            <w:vAlign w:val="center"/>
          </w:tcPr>
          <w:p>
            <w:pPr>
              <w:pStyle w:val="11"/>
              <w:ind w:firstLine="0" w:firstLineChars="0"/>
              <w:rPr>
                <w:rFonts w:hint="default"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15</w:t>
            </w: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pStyle w:val="11"/>
              <w:ind w:firstLine="0" w:firstLineChars="0"/>
              <w:jc w:val="both"/>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满足投标人须知前附表附录4和投标人须知第1.4.4项规定，得</w:t>
            </w:r>
            <w:r>
              <w:rPr>
                <w:rFonts w:hint="eastAsia" w:cs="宋体"/>
                <w:snapToGrid w:val="0"/>
                <w:color w:val="auto"/>
                <w:kern w:val="2"/>
                <w:sz w:val="20"/>
                <w:szCs w:val="21"/>
                <w:highlight w:val="none"/>
                <w:lang w:val="en-US" w:eastAsia="zh-CN" w:bidi="ar-SA"/>
              </w:rPr>
              <w:t>1</w:t>
            </w:r>
            <w:r>
              <w:rPr>
                <w:rFonts w:hint="eastAsia" w:ascii="宋体" w:hAnsi="宋体" w:eastAsia="宋体" w:cs="宋体"/>
                <w:snapToGrid w:val="0"/>
                <w:color w:val="auto"/>
                <w:kern w:val="2"/>
                <w:sz w:val="20"/>
                <w:szCs w:val="21"/>
                <w:highlight w:val="none"/>
                <w:lang w:val="en-US" w:eastAsia="zh-CN" w:bidi="ar-SA"/>
              </w:rPr>
              <w:t>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995" w:type="dxa"/>
            <w:vMerge w:val="continue"/>
            <w:tcBorders>
              <w:left w:val="single" w:color="000000" w:sz="10" w:space="0"/>
              <w:bottom w:val="single" w:color="auto" w:sz="4" w:space="0"/>
            </w:tcBorders>
            <w:noWrap w:val="0"/>
            <w:tcMar>
              <w:top w:w="0" w:type="dxa"/>
              <w:left w:w="113" w:type="dxa"/>
              <w:bottom w:w="0" w:type="dxa"/>
              <w:right w:w="113" w:type="dxa"/>
            </w:tcMar>
            <w:vAlign w:val="center"/>
          </w:tcPr>
          <w:p>
            <w:pPr>
              <w:pStyle w:val="11"/>
              <w:ind w:firstLine="0" w:firstLineChars="0"/>
              <w:rPr>
                <w:rFonts w:hint="eastAsia" w:ascii="宋体" w:hAnsi="宋体" w:eastAsia="宋体" w:cs="宋体"/>
                <w:snapToGrid w:val="0"/>
                <w:color w:val="auto"/>
                <w:kern w:val="2"/>
                <w:sz w:val="20"/>
                <w:szCs w:val="21"/>
                <w:highlight w:val="none"/>
                <w:lang w:val="en-US" w:eastAsia="en-US" w:bidi="ar-SA"/>
              </w:rPr>
            </w:pPr>
          </w:p>
        </w:tc>
        <w:tc>
          <w:tcPr>
            <w:tcW w:w="1202" w:type="dxa"/>
            <w:vMerge w:val="continue"/>
            <w:tcBorders>
              <w:bottom w:val="single" w:color="auto" w:sz="4" w:space="0"/>
              <w:right w:val="single" w:color="auto" w:sz="4" w:space="0"/>
            </w:tcBorders>
            <w:noWrap w:val="0"/>
            <w:tcMar>
              <w:top w:w="0" w:type="dxa"/>
              <w:left w:w="113" w:type="dxa"/>
              <w:bottom w:w="0" w:type="dxa"/>
              <w:right w:w="113" w:type="dxa"/>
            </w:tcMar>
            <w:vAlign w:val="center"/>
          </w:tcPr>
          <w:p>
            <w:pPr>
              <w:pStyle w:val="11"/>
              <w:ind w:firstLine="0" w:firstLineChars="0"/>
              <w:rPr>
                <w:rFonts w:hint="eastAsia" w:ascii="宋体" w:hAnsi="宋体" w:eastAsia="宋体" w:cs="宋体"/>
                <w:snapToGrid w:val="0"/>
                <w:color w:val="auto"/>
                <w:kern w:val="2"/>
                <w:sz w:val="20"/>
                <w:szCs w:val="21"/>
                <w:highlight w:val="none"/>
                <w:lang w:val="en-US" w:eastAsia="zh-CN" w:bidi="ar-SA"/>
              </w:rPr>
            </w:pPr>
          </w:p>
        </w:tc>
        <w:tc>
          <w:tcPr>
            <w:tcW w:w="1084" w:type="dxa"/>
            <w:vMerge w:val="continue"/>
            <w:tcBorders>
              <w:left w:val="single" w:color="auto" w:sz="4" w:space="0"/>
              <w:bottom w:val="single" w:color="auto" w:sz="4" w:space="0"/>
            </w:tcBorders>
            <w:noWrap w:val="0"/>
            <w:tcMar>
              <w:top w:w="0" w:type="dxa"/>
              <w:left w:w="113" w:type="dxa"/>
              <w:bottom w:w="0" w:type="dxa"/>
              <w:right w:w="113" w:type="dxa"/>
            </w:tcMar>
            <w:vAlign w:val="center"/>
          </w:tcPr>
          <w:p>
            <w:pPr>
              <w:pStyle w:val="11"/>
              <w:ind w:firstLine="0" w:firstLineChars="0"/>
              <w:rPr>
                <w:rFonts w:hint="eastAsia" w:ascii="宋体" w:hAnsi="宋体" w:eastAsia="宋体" w:cs="宋体"/>
                <w:snapToGrid w:val="0"/>
                <w:color w:val="auto"/>
                <w:kern w:val="2"/>
                <w:sz w:val="20"/>
                <w:szCs w:val="21"/>
                <w:highlight w:val="none"/>
                <w:lang w:val="en-US" w:eastAsia="zh-CN" w:bidi="ar-SA"/>
              </w:rPr>
            </w:pPr>
          </w:p>
        </w:tc>
        <w:tc>
          <w:tcPr>
            <w:tcW w:w="1414" w:type="dxa"/>
            <w:tcBorders>
              <w:right w:val="single" w:color="000000" w:sz="2" w:space="0"/>
            </w:tcBorders>
            <w:noWrap w:val="0"/>
            <w:tcMar>
              <w:top w:w="0" w:type="dxa"/>
              <w:left w:w="113" w:type="dxa"/>
              <w:bottom w:w="0" w:type="dxa"/>
              <w:right w:w="113" w:type="dxa"/>
            </w:tcMar>
            <w:vAlign w:val="center"/>
          </w:tcPr>
          <w:p>
            <w:pPr>
              <w:pStyle w:val="11"/>
              <w:ind w:firstLine="0" w:firstLineChars="0"/>
              <w:rPr>
                <w:rFonts w:hint="eastAsia" w:ascii="宋体" w:hAnsi="宋体" w:eastAsia="宋体" w:cs="宋体"/>
                <w:snapToGrid w:val="0"/>
                <w:color w:val="auto"/>
                <w:kern w:val="2"/>
                <w:sz w:val="20"/>
                <w:szCs w:val="21"/>
                <w:highlight w:val="none"/>
                <w:lang w:val="en-US" w:eastAsia="en-US" w:bidi="ar-SA"/>
              </w:rPr>
            </w:pPr>
            <w:r>
              <w:rPr>
                <w:rFonts w:hint="eastAsia" w:ascii="宋体" w:hAnsi="宋体" w:eastAsia="宋体" w:cs="宋体"/>
                <w:snapToGrid w:val="0"/>
                <w:color w:val="auto"/>
                <w:kern w:val="2"/>
                <w:sz w:val="20"/>
                <w:szCs w:val="21"/>
                <w:highlight w:val="none"/>
                <w:lang w:val="en-US" w:eastAsia="zh-CN" w:bidi="ar-SA"/>
              </w:rPr>
              <w:t>企业业绩</w:t>
            </w:r>
          </w:p>
        </w:tc>
        <w:tc>
          <w:tcPr>
            <w:tcW w:w="903" w:type="dxa"/>
            <w:tcBorders>
              <w:left w:val="single" w:color="000000" w:sz="2" w:space="0"/>
              <w:right w:val="single" w:color="000000" w:sz="2" w:space="0"/>
            </w:tcBorders>
            <w:noWrap w:val="0"/>
            <w:tcMar>
              <w:top w:w="0" w:type="dxa"/>
              <w:left w:w="113" w:type="dxa"/>
              <w:bottom w:w="0" w:type="dxa"/>
              <w:right w:w="113" w:type="dxa"/>
            </w:tcMar>
            <w:vAlign w:val="center"/>
          </w:tcPr>
          <w:p>
            <w:pPr>
              <w:pStyle w:val="11"/>
              <w:ind w:firstLine="0" w:firstLineChars="0"/>
              <w:rPr>
                <w:rFonts w:hint="default"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20</w:t>
            </w:r>
          </w:p>
        </w:tc>
        <w:tc>
          <w:tcPr>
            <w:tcW w:w="3848" w:type="dxa"/>
            <w:tcBorders>
              <w:left w:val="single" w:color="000000" w:sz="2" w:space="0"/>
              <w:right w:val="single" w:color="000000" w:sz="10" w:space="0"/>
            </w:tcBorders>
            <w:noWrap w:val="0"/>
            <w:tcMar>
              <w:top w:w="0" w:type="dxa"/>
              <w:left w:w="113" w:type="dxa"/>
              <w:bottom w:w="0" w:type="dxa"/>
              <w:right w:w="113" w:type="dxa"/>
            </w:tcMar>
            <w:vAlign w:val="center"/>
          </w:tcPr>
          <w:p>
            <w:pPr>
              <w:pStyle w:val="11"/>
              <w:jc w:val="both"/>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满足资格审查条件业绩得1</w:t>
            </w:r>
            <w:r>
              <w:rPr>
                <w:rFonts w:hint="eastAsia" w:cs="宋体"/>
                <w:snapToGrid w:val="0"/>
                <w:color w:val="auto"/>
                <w:kern w:val="2"/>
                <w:sz w:val="20"/>
                <w:szCs w:val="21"/>
                <w:highlight w:val="none"/>
                <w:lang w:val="en-US" w:eastAsia="zh-CN" w:bidi="ar-SA"/>
              </w:rPr>
              <w:t>2</w:t>
            </w:r>
            <w:r>
              <w:rPr>
                <w:rFonts w:hint="eastAsia" w:ascii="宋体" w:hAnsi="宋体" w:eastAsia="宋体" w:cs="宋体"/>
                <w:snapToGrid w:val="0"/>
                <w:color w:val="auto"/>
                <w:kern w:val="2"/>
                <w:sz w:val="20"/>
                <w:szCs w:val="21"/>
                <w:highlight w:val="none"/>
                <w:lang w:val="en-US" w:eastAsia="zh-CN" w:bidi="ar-SA"/>
              </w:rPr>
              <w:t>分；</w:t>
            </w:r>
          </w:p>
          <w:p>
            <w:pPr>
              <w:pStyle w:val="11"/>
              <w:ind w:firstLine="0" w:firstLineChars="0"/>
              <w:jc w:val="both"/>
              <w:rPr>
                <w:rFonts w:hint="eastAsia" w:ascii="宋体" w:hAnsi="宋体" w:eastAsia="宋体" w:cs="宋体"/>
                <w:snapToGrid w:val="0"/>
                <w:color w:val="auto"/>
                <w:kern w:val="2"/>
                <w:sz w:val="20"/>
                <w:szCs w:val="21"/>
                <w:highlight w:val="none"/>
                <w:lang w:val="en-US" w:eastAsia="zh-CN" w:bidi="ar-SA"/>
              </w:rPr>
            </w:pPr>
            <w:r>
              <w:rPr>
                <w:rFonts w:hint="eastAsia" w:ascii="宋体" w:hAnsi="宋体" w:eastAsia="宋体" w:cs="宋体"/>
                <w:snapToGrid w:val="0"/>
                <w:color w:val="auto"/>
                <w:kern w:val="2"/>
                <w:sz w:val="20"/>
                <w:szCs w:val="21"/>
                <w:highlight w:val="none"/>
                <w:lang w:val="en-US" w:eastAsia="zh-CN" w:bidi="ar-SA"/>
              </w:rPr>
              <w:t>每增加一项目满足资格条件的业绩加</w:t>
            </w:r>
            <w:r>
              <w:rPr>
                <w:rFonts w:hint="eastAsia" w:cs="宋体"/>
                <w:snapToGrid w:val="0"/>
                <w:color w:val="auto"/>
                <w:kern w:val="2"/>
                <w:sz w:val="20"/>
                <w:szCs w:val="21"/>
                <w:highlight w:val="none"/>
                <w:lang w:val="en-US" w:eastAsia="zh-CN" w:bidi="ar-SA"/>
              </w:rPr>
              <w:t>8</w:t>
            </w:r>
            <w:r>
              <w:rPr>
                <w:rFonts w:hint="eastAsia" w:ascii="宋体" w:hAnsi="宋体" w:eastAsia="宋体" w:cs="宋体"/>
                <w:snapToGrid w:val="0"/>
                <w:color w:val="auto"/>
                <w:kern w:val="2"/>
                <w:sz w:val="20"/>
                <w:szCs w:val="21"/>
                <w:highlight w:val="none"/>
                <w:lang w:val="en-US" w:eastAsia="zh-CN" w:bidi="ar-SA"/>
              </w:rPr>
              <w:t>分，最多加</w:t>
            </w:r>
            <w:r>
              <w:rPr>
                <w:rFonts w:hint="eastAsia" w:cs="宋体"/>
                <w:snapToGrid w:val="0"/>
                <w:color w:val="auto"/>
                <w:kern w:val="2"/>
                <w:sz w:val="20"/>
                <w:szCs w:val="21"/>
                <w:highlight w:val="none"/>
                <w:lang w:val="en-US" w:eastAsia="zh-CN" w:bidi="ar-SA"/>
              </w:rPr>
              <w:t>8</w:t>
            </w:r>
            <w:r>
              <w:rPr>
                <w:rFonts w:hint="eastAsia" w:ascii="宋体" w:hAnsi="宋体" w:eastAsia="宋体" w:cs="宋体"/>
                <w:snapToGrid w:val="0"/>
                <w:color w:val="auto"/>
                <w:kern w:val="2"/>
                <w:sz w:val="20"/>
                <w:szCs w:val="21"/>
                <w:highlight w:val="none"/>
                <w:lang w:val="en-US" w:eastAsia="zh-CN" w:bidi="ar-SA"/>
              </w:rPr>
              <w:t>分；</w:t>
            </w:r>
          </w:p>
        </w:tc>
      </w:tr>
    </w:tbl>
    <w:p>
      <w:pPr>
        <w:spacing w:before="33" w:line="240" w:lineRule="auto"/>
        <w:ind w:left="0" w:leftChars="0" w:firstLine="210" w:firstLineChars="100"/>
        <w:rPr>
          <w:rFonts w:ascii="宋体" w:hAnsi="宋体" w:cs="宋体"/>
          <w:color w:val="auto"/>
          <w:kern w:val="2"/>
          <w:highlight w:val="none"/>
          <w:lang w:eastAsia="zh-CN"/>
        </w:rPr>
      </w:pPr>
      <w:r>
        <w:rPr>
          <w:rFonts w:hint="eastAsia" w:ascii="宋体" w:hAnsi="宋体" w:cs="宋体"/>
          <w:color w:val="auto"/>
          <w:kern w:val="2"/>
          <w:highlight w:val="none"/>
          <w:lang w:eastAsia="zh-CN"/>
        </w:rPr>
        <w:t>注：1、评委打分保留两位小数，第三位四舍五入。</w:t>
      </w:r>
    </w:p>
    <w:p>
      <w:pPr>
        <w:spacing w:before="33" w:line="240" w:lineRule="auto"/>
        <w:ind w:left="0" w:leftChars="0" w:firstLine="630" w:firstLineChars="300"/>
        <w:rPr>
          <w:rFonts w:ascii="宋体" w:hAnsi="宋体" w:cs="宋体"/>
          <w:color w:val="auto"/>
          <w:kern w:val="2"/>
          <w:highlight w:val="none"/>
          <w:lang w:eastAsia="zh-CN"/>
        </w:rPr>
      </w:pPr>
      <w:r>
        <w:rPr>
          <w:rFonts w:hint="eastAsia" w:ascii="宋体" w:hAnsi="宋体" w:cs="宋体"/>
          <w:color w:val="auto"/>
          <w:kern w:val="2"/>
          <w:highlight w:val="none"/>
          <w:lang w:eastAsia="zh-CN"/>
        </w:rPr>
        <w:t xml:space="preserve">2、各评分因素得分应以评标委员会各成员的打分平均值确定，汇总得分保留 2 位小数。 </w:t>
      </w:r>
    </w:p>
    <w:p>
      <w:pPr>
        <w:spacing w:before="33" w:line="240" w:lineRule="auto"/>
        <w:ind w:left="218"/>
        <w:rPr>
          <w:rFonts w:ascii="宋体" w:hAnsi="宋体" w:cs="宋体"/>
          <w:color w:val="auto"/>
          <w:kern w:val="2"/>
          <w:highlight w:val="none"/>
          <w:lang w:eastAsia="zh-CN"/>
        </w:rPr>
      </w:pPr>
      <w:r>
        <w:rPr>
          <w:rFonts w:hint="eastAsia" w:ascii="宋体" w:hAnsi="宋体" w:cs="宋体"/>
          <w:color w:val="auto"/>
          <w:kern w:val="2"/>
          <w:highlight w:val="none"/>
          <w:lang w:eastAsia="zh-CN"/>
        </w:rPr>
        <w:t>3、施工组织设计缺项则该项得 0 分。</w:t>
      </w:r>
    </w:p>
    <w:p/>
    <w:p>
      <w:bookmarkStart w:id="0" w:name="_GoBack"/>
      <w:bookmarkEnd w:id="0"/>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firstLine="36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36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OYo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7qTmKMQIAAGUEAAAOAAAAAAAAAAEAIAAAAB8BAABkcnMvZTJvRG9jLnhtbFBLBQYA&#10;AAAABgAGAFkBAADCBQAAAAA=&#10;">
              <v:path/>
              <v:fill on="f" focussize="0,0"/>
              <v:stroke on="f" weight="0.5pt"/>
              <v:imagedata o:title=""/>
              <o:lock v:ext="edit" aspectratio="f"/>
              <v:textbox inset="0mm,0mm,0mm,0mm" style="mso-fit-shape-to-text:t;">
                <w:txbxContent>
                  <w:p>
                    <w:pPr>
                      <w:pStyle w:val="7"/>
                      <w:ind w:firstLine="36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4"/>
      <w:lvlText w:val="%1."/>
      <w:lvlJc w:val="left"/>
      <w:pPr>
        <w:ind w:left="284" w:hanging="284"/>
      </w:pPr>
      <w:rPr>
        <w:rFonts w:hint="default" w:ascii="宋体" w:hAnsi="宋体" w:eastAsia="宋体" w:cs="宋体"/>
        <w:b/>
        <w:bCs/>
        <w:spacing w:val="-3"/>
        <w:w w:val="99"/>
        <w:sz w:val="20"/>
        <w:szCs w:val="20"/>
      </w:rPr>
    </w:lvl>
    <w:lvl w:ilvl="1" w:tentative="0">
      <w:start w:val="1"/>
      <w:numFmt w:val="decimal"/>
      <w:lvlText w:val="%1.%2."/>
      <w:lvlJc w:val="left"/>
      <w:pPr>
        <w:ind w:left="567" w:hanging="227"/>
      </w:pPr>
      <w:rPr>
        <w:rFonts w:hint="default" w:ascii="宋体" w:hAnsi="宋体" w:eastAsia="宋体" w:cs="宋体"/>
        <w:spacing w:val="-1"/>
        <w:w w:val="100"/>
        <w:sz w:val="21"/>
        <w:szCs w:val="20"/>
      </w:rPr>
    </w:lvl>
    <w:lvl w:ilvl="2" w:tentative="0">
      <w:start w:val="1"/>
      <w:numFmt w:val="decimal"/>
      <w:lvlText w:val="%1.%2.%3"/>
      <w:lvlJc w:val="left"/>
      <w:pPr>
        <w:ind w:left="1304" w:hanging="605"/>
      </w:pPr>
      <w:rPr>
        <w:rFonts w:hint="default" w:ascii="宋体" w:hAnsi="宋体" w:eastAsia="宋体" w:cs="宋体"/>
        <w:spacing w:val="-1"/>
        <w:w w:val="100"/>
        <w:sz w:val="21"/>
        <w:szCs w:val="22"/>
      </w:rPr>
    </w:lvl>
    <w:lvl w:ilvl="3" w:tentative="0">
      <w:start w:val="0"/>
      <w:numFmt w:val="bullet"/>
      <w:lvlText w:val="•"/>
      <w:lvlJc w:val="left"/>
      <w:pPr>
        <w:ind w:left="2345" w:hanging="605"/>
      </w:pPr>
      <w:rPr>
        <w:rFonts w:hint="default"/>
      </w:rPr>
    </w:lvl>
    <w:lvl w:ilvl="4" w:tentative="0">
      <w:start w:val="0"/>
      <w:numFmt w:val="bullet"/>
      <w:lvlText w:val="•"/>
      <w:lvlJc w:val="left"/>
      <w:pPr>
        <w:ind w:left="3391" w:hanging="605"/>
      </w:pPr>
      <w:rPr>
        <w:rFonts w:hint="default"/>
      </w:rPr>
    </w:lvl>
    <w:lvl w:ilvl="5" w:tentative="0">
      <w:start w:val="0"/>
      <w:numFmt w:val="bullet"/>
      <w:lvlText w:val="•"/>
      <w:lvlJc w:val="left"/>
      <w:pPr>
        <w:ind w:left="4437" w:hanging="605"/>
      </w:pPr>
      <w:rPr>
        <w:rFonts w:hint="default"/>
      </w:rPr>
    </w:lvl>
    <w:lvl w:ilvl="6" w:tentative="0">
      <w:start w:val="0"/>
      <w:numFmt w:val="bullet"/>
      <w:lvlText w:val="•"/>
      <w:lvlJc w:val="left"/>
      <w:pPr>
        <w:ind w:left="5483" w:hanging="605"/>
      </w:pPr>
      <w:rPr>
        <w:rFonts w:hint="default"/>
      </w:rPr>
    </w:lvl>
    <w:lvl w:ilvl="7" w:tentative="0">
      <w:start w:val="0"/>
      <w:numFmt w:val="bullet"/>
      <w:lvlText w:val="•"/>
      <w:lvlJc w:val="left"/>
      <w:pPr>
        <w:ind w:left="6528" w:hanging="605"/>
      </w:pPr>
      <w:rPr>
        <w:rFonts w:hint="default"/>
      </w:rPr>
    </w:lvl>
    <w:lvl w:ilvl="8" w:tentative="0">
      <w:start w:val="0"/>
      <w:numFmt w:val="bullet"/>
      <w:lvlText w:val="•"/>
      <w:lvlJc w:val="left"/>
      <w:pPr>
        <w:ind w:left="7574" w:hanging="6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22460FD"/>
    <w:rsid w:val="01A916C8"/>
    <w:rsid w:val="322460FD"/>
    <w:rsid w:val="5528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1"/>
      <w:szCs w:val="21"/>
      <w:lang w:val="en-US" w:eastAsia="en-US" w:bidi="ar-SA"/>
    </w:rPr>
  </w:style>
  <w:style w:type="paragraph" w:styleId="4">
    <w:name w:val="heading 3"/>
    <w:basedOn w:val="5"/>
    <w:next w:val="1"/>
    <w:qFormat/>
    <w:uiPriority w:val="99"/>
    <w:pPr>
      <w:numPr>
        <w:ilvl w:val="0"/>
        <w:numId w:val="1"/>
      </w:numPr>
      <w:tabs>
        <w:tab w:val="left" w:pos="486"/>
      </w:tabs>
      <w:outlineLvl w:val="2"/>
    </w:pPr>
    <w:rPr>
      <w:b/>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Arial"/>
    </w:rPr>
  </w:style>
  <w:style w:type="paragraph" w:styleId="3">
    <w:name w:val="Body Text 2"/>
    <w:basedOn w:val="1"/>
    <w:next w:val="1"/>
    <w:qFormat/>
    <w:uiPriority w:val="0"/>
    <w:rPr>
      <w:rFonts w:ascii="仿宋_GB2312" w:hAnsi="宋体" w:eastAsia="仿宋_GB2312"/>
    </w:rPr>
  </w:style>
  <w:style w:type="paragraph" w:styleId="5">
    <w:name w:val="List Paragraph"/>
    <w:basedOn w:val="1"/>
    <w:qFormat/>
    <w:uiPriority w:val="1"/>
    <w:pPr>
      <w:ind w:left="404"/>
    </w:pPr>
    <w:rPr>
      <w:rFonts w:ascii="宋体" w:hAnsi="宋体" w:cs="宋体"/>
      <w:lang w:eastAsia="zh-CN"/>
    </w:rPr>
  </w:style>
  <w:style w:type="paragraph" w:styleId="6">
    <w:name w:val="annotation text"/>
    <w:basedOn w:val="1"/>
    <w:qFormat/>
    <w:uiPriority w:val="0"/>
  </w:style>
  <w:style w:type="paragraph" w:styleId="7">
    <w:name w:val="footer"/>
    <w:basedOn w:val="1"/>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customStyle="1" w:styleId="11">
    <w:name w:val="Table Text"/>
    <w:basedOn w:val="1"/>
    <w:semiHidden/>
    <w:qFormat/>
    <w:uiPriority w:val="0"/>
    <w:pPr>
      <w:spacing w:before="65" w:line="231" w:lineRule="auto"/>
      <w:ind w:firstLine="0" w:firstLineChars="0"/>
      <w:jc w:val="center"/>
    </w:pPr>
    <w:rPr>
      <w:rFonts w:ascii="宋体" w:hAnsi="宋体" w:cs="宋体"/>
      <w:kern w:val="2"/>
      <w:sz w:val="18"/>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rPr>
      <w:rFonts w:ascii="宋体" w:hAnsi="宋体" w:cs="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2024-07-17T01:33:00Z</dcterms:created>
  <dc:creator>赵凌云</dc:creator>
  <cp:lastModifiedBy>赵凌云</cp:lastModifiedBy>
  <dcterms:modified xsi:type="dcterms:W3CDTF">2024-07-17T01:34:24Z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4A4F5EC430F94FD2B885875F6786AD27_13</vt:lpwstr>
  </property>
</Properties>
</file>