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ind w:left="284" w:hanging="284"/>
        <w:rPr>
          <w:rFonts w:ascii="Times New Roman" w:hAnsi="Times New Roman" w:cs="Times New Roman"/>
          <w:color w:val="auto"/>
          <w:kern w:val="2"/>
          <w:highlight w:val="none"/>
        </w:rPr>
      </w:pPr>
      <w:r>
        <w:rPr>
          <w:rFonts w:hint="eastAsia" w:ascii="Times New Roman" w:hAnsi="Times New Roman" w:cs="Times New Roman"/>
          <w:color w:val="auto"/>
          <w:kern w:val="2"/>
          <w:highlight w:val="none"/>
        </w:rPr>
        <w:t>附件 1：资格审查条件</w:t>
      </w:r>
    </w:p>
    <w:p>
      <w:pPr>
        <w:pStyle w:val="2"/>
        <w:spacing w:line="253" w:lineRule="auto"/>
        <w:rPr>
          <w:rFonts w:ascii="宋体" w:hAnsi="宋体" w:eastAsia="宋体" w:cs="宋体"/>
          <w:color w:val="auto"/>
          <w:kern w:val="2"/>
          <w:highlight w:val="none"/>
          <w:lang w:eastAsia="zh-CN"/>
        </w:rPr>
      </w:pPr>
    </w:p>
    <w:p>
      <w:pPr>
        <w:spacing w:before="65" w:line="223" w:lineRule="auto"/>
        <w:jc w:val="center"/>
        <w:rPr>
          <w:rFonts w:ascii="Times New Roman" w:hAnsi="Times New Roman" w:cs="Times New Roman"/>
          <w:b/>
          <w:color w:val="auto"/>
          <w:kern w:val="2"/>
          <w:highlight w:val="none"/>
          <w:lang w:eastAsia="zh-CN"/>
        </w:rPr>
      </w:pPr>
      <w:r>
        <w:rPr>
          <w:rFonts w:hint="eastAsia" w:ascii="Times New Roman" w:hAnsi="Times New Roman" w:cs="Times New Roman"/>
          <w:b/>
          <w:color w:val="auto"/>
          <w:kern w:val="2"/>
          <w:highlight w:val="none"/>
          <w:lang w:eastAsia="zh-CN"/>
        </w:rPr>
        <w:t>附录 1  资格审查条件(资质最低条件)</w:t>
      </w:r>
    </w:p>
    <w:tbl>
      <w:tblPr>
        <w:tblStyle w:val="11"/>
        <w:tblW w:w="93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jc w:val="center"/>
        </w:trPr>
        <w:tc>
          <w:tcPr>
            <w:tcW w:w="9320" w:type="dxa"/>
            <w:noWrap w:val="0"/>
            <w:vAlign w:val="top"/>
          </w:tcPr>
          <w:p>
            <w:pPr>
              <w:pStyle w:val="10"/>
              <w:rPr>
                <w:color w:val="auto"/>
                <w:highlight w:val="none"/>
              </w:rPr>
            </w:pPr>
            <w:r>
              <w:rPr>
                <w:rFonts w:hint="eastAsia"/>
                <w:color w:val="auto"/>
                <w:highlight w:val="none"/>
                <w:lang w:eastAsia="zh-CN"/>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jc w:val="center"/>
        </w:trPr>
        <w:tc>
          <w:tcPr>
            <w:tcW w:w="9320" w:type="dxa"/>
            <w:noWrap w:val="0"/>
            <w:vAlign w:val="top"/>
          </w:tcPr>
          <w:p>
            <w:pPr>
              <w:pStyle w:val="10"/>
              <w:jc w:val="left"/>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1、具有独立法人资格、持有有效的营业执照；</w:t>
            </w:r>
          </w:p>
          <w:p>
            <w:pPr>
              <w:pStyle w:val="10"/>
              <w:jc w:val="left"/>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2、具有住房和城乡建设主管部门颁发的公路交通工程（公路安全设施）专业承包一级资质；</w:t>
            </w:r>
          </w:p>
          <w:p>
            <w:pPr>
              <w:pStyle w:val="10"/>
              <w:jc w:val="left"/>
              <w:rPr>
                <w:color w:val="auto"/>
                <w:highlight w:val="none"/>
                <w:lang w:eastAsia="zh-CN"/>
              </w:rPr>
            </w:pPr>
            <w:r>
              <w:rPr>
                <w:rFonts w:hint="eastAsia" w:ascii="宋体" w:hAnsi="宋体" w:eastAsia="宋体" w:cs="宋体"/>
                <w:snapToGrid w:val="0"/>
                <w:color w:val="auto"/>
                <w:kern w:val="2"/>
                <w:sz w:val="21"/>
                <w:szCs w:val="21"/>
                <w:highlight w:val="none"/>
                <w:lang w:val="en-US" w:eastAsia="zh-CN" w:bidi="ar-SA"/>
              </w:rPr>
              <w:t>3、具有住房和城乡建设主管部门核发的有效的安全生产许可证。</w:t>
            </w:r>
          </w:p>
        </w:tc>
      </w:tr>
    </w:tbl>
    <w:p>
      <w:pPr>
        <w:pStyle w:val="2"/>
        <w:spacing w:line="343" w:lineRule="auto"/>
        <w:rPr>
          <w:rFonts w:ascii="宋体" w:hAnsi="宋体" w:eastAsia="宋体" w:cs="宋体"/>
          <w:color w:val="auto"/>
          <w:kern w:val="2"/>
          <w:highlight w:val="none"/>
          <w:lang w:eastAsia="zh-CN"/>
        </w:rPr>
      </w:pPr>
    </w:p>
    <w:p>
      <w:pPr>
        <w:spacing w:before="65" w:line="223" w:lineRule="auto"/>
        <w:jc w:val="center"/>
        <w:rPr>
          <w:rFonts w:ascii="Times New Roman" w:hAnsi="Times New Roman" w:cs="Times New Roman"/>
          <w:b/>
          <w:color w:val="auto"/>
          <w:kern w:val="2"/>
          <w:highlight w:val="none"/>
          <w:lang w:eastAsia="zh-CN"/>
        </w:rPr>
      </w:pPr>
      <w:r>
        <w:rPr>
          <w:rFonts w:hint="eastAsia" w:ascii="Times New Roman" w:hAnsi="Times New Roman" w:cs="Times New Roman"/>
          <w:b/>
          <w:color w:val="auto"/>
          <w:kern w:val="2"/>
          <w:highlight w:val="none"/>
          <w:lang w:eastAsia="zh-CN"/>
        </w:rPr>
        <w:t>附录 2  资格审查条件(财务最低要求)</w:t>
      </w:r>
    </w:p>
    <w:tbl>
      <w:tblPr>
        <w:tblStyle w:val="11"/>
        <w:tblW w:w="93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jc w:val="center"/>
        </w:trPr>
        <w:tc>
          <w:tcPr>
            <w:tcW w:w="9303" w:type="dxa"/>
            <w:noWrap w:val="0"/>
            <w:vAlign w:val="top"/>
          </w:tcPr>
          <w:p>
            <w:pPr>
              <w:pStyle w:val="10"/>
              <w:rPr>
                <w:color w:val="auto"/>
                <w:highlight w:val="none"/>
              </w:rPr>
            </w:pPr>
            <w:r>
              <w:rPr>
                <w:rFonts w:hint="eastAsia"/>
                <w:color w:val="auto"/>
                <w:highlight w:val="none"/>
                <w:lang w:eastAsia="zh-CN"/>
              </w:rPr>
              <w:t>财务要求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jc w:val="center"/>
        </w:trPr>
        <w:tc>
          <w:tcPr>
            <w:tcW w:w="9303" w:type="dxa"/>
            <w:noWrap w:val="0"/>
            <w:vAlign w:val="top"/>
          </w:tcPr>
          <w:p>
            <w:pPr>
              <w:pStyle w:val="10"/>
              <w:jc w:val="left"/>
              <w:rPr>
                <w:color w:val="auto"/>
                <w:highlight w:val="none"/>
                <w:lang w:eastAsia="zh-CN"/>
              </w:rPr>
            </w:pPr>
            <w:r>
              <w:rPr>
                <w:rFonts w:hint="eastAsia" w:ascii="宋体" w:hAnsi="宋体" w:eastAsia="宋体" w:cs="宋体"/>
                <w:snapToGrid w:val="0"/>
                <w:color w:val="auto"/>
                <w:kern w:val="2"/>
                <w:sz w:val="21"/>
                <w:szCs w:val="21"/>
                <w:highlight w:val="none"/>
                <w:lang w:val="en-US" w:eastAsia="zh-CN" w:bidi="ar-SA"/>
              </w:rPr>
              <w:t>为本合同所提供的营运资金(以经会计事务所或审计机构审计的最新财务报表（2023年度)中：营运资金＝流动资产－流动负债，以年末数计算)以及为本合同而专门开具的银行信贷证明，总和不得少于1000万元。</w:t>
            </w:r>
          </w:p>
        </w:tc>
      </w:tr>
    </w:tbl>
    <w:p>
      <w:pPr>
        <w:pStyle w:val="2"/>
        <w:spacing w:line="289" w:lineRule="auto"/>
        <w:rPr>
          <w:rFonts w:ascii="宋体" w:hAnsi="宋体" w:eastAsia="宋体" w:cs="宋体"/>
          <w:color w:val="auto"/>
          <w:kern w:val="2"/>
          <w:highlight w:val="none"/>
          <w:lang w:eastAsia="zh-CN"/>
        </w:rPr>
      </w:pPr>
    </w:p>
    <w:p>
      <w:pPr>
        <w:spacing w:before="65" w:line="223" w:lineRule="auto"/>
        <w:jc w:val="center"/>
        <w:rPr>
          <w:rFonts w:ascii="Times New Roman" w:hAnsi="Times New Roman" w:cs="Times New Roman"/>
          <w:b/>
          <w:color w:val="auto"/>
          <w:kern w:val="2"/>
          <w:highlight w:val="none"/>
          <w:lang w:eastAsia="zh-CN"/>
        </w:rPr>
      </w:pPr>
      <w:r>
        <w:rPr>
          <w:rFonts w:hint="eastAsia" w:ascii="Times New Roman" w:hAnsi="Times New Roman" w:cs="Times New Roman"/>
          <w:b/>
          <w:color w:val="auto"/>
          <w:kern w:val="2"/>
          <w:highlight w:val="none"/>
          <w:lang w:eastAsia="zh-CN"/>
        </w:rPr>
        <w:t>附录 3  资格审查条件(业绩最低要求)</w:t>
      </w:r>
    </w:p>
    <w:tbl>
      <w:tblPr>
        <w:tblStyle w:val="11"/>
        <w:tblW w:w="9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9164" w:type="dxa"/>
            <w:tcBorders>
              <w:bottom w:val="single" w:color="000000" w:sz="4" w:space="0"/>
            </w:tcBorders>
            <w:noWrap w:val="0"/>
            <w:vAlign w:val="top"/>
          </w:tcPr>
          <w:p>
            <w:pPr>
              <w:pStyle w:val="10"/>
              <w:rPr>
                <w:color w:val="auto"/>
                <w:highlight w:val="none"/>
              </w:rPr>
            </w:pPr>
            <w:r>
              <w:rPr>
                <w:rFonts w:hint="eastAsia"/>
                <w:color w:val="auto"/>
                <w:highlight w:val="none"/>
                <w:lang w:eastAsia="zh-CN"/>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8" w:hRule="atLeast"/>
          <w:jc w:val="center"/>
        </w:trPr>
        <w:tc>
          <w:tcPr>
            <w:tcW w:w="9164" w:type="dxa"/>
            <w:tcBorders>
              <w:top w:val="single" w:color="000000" w:sz="4" w:space="0"/>
            </w:tcBorders>
            <w:noWrap w:val="0"/>
            <w:vAlign w:val="top"/>
          </w:tcPr>
          <w:p>
            <w:pPr>
              <w:pStyle w:val="10"/>
              <w:jc w:val="left"/>
              <w:rPr>
                <w:color w:val="auto"/>
                <w:highlight w:val="none"/>
                <w:lang w:eastAsia="zh-CN"/>
              </w:rPr>
            </w:pPr>
            <w:r>
              <w:rPr>
                <w:rFonts w:hint="eastAsia" w:ascii="宋体" w:hAnsi="宋体" w:eastAsia="宋体" w:cs="宋体"/>
                <w:snapToGrid w:val="0"/>
                <w:color w:val="auto"/>
                <w:kern w:val="2"/>
                <w:sz w:val="21"/>
                <w:szCs w:val="21"/>
                <w:highlight w:val="none"/>
                <w:lang w:val="en-US" w:eastAsia="zh-CN" w:bidi="ar-SA"/>
              </w:rPr>
              <w:t>近5年内（2019 年7月1日至今，以交工时间为准）至少独立完成过1项合同额不少于1000万元的新建或改扩建高速公路交通安全设施施工业绩。</w:t>
            </w:r>
          </w:p>
        </w:tc>
      </w:tr>
    </w:tbl>
    <w:p>
      <w:pPr>
        <w:pStyle w:val="2"/>
        <w:spacing w:line="262" w:lineRule="auto"/>
        <w:rPr>
          <w:rFonts w:ascii="宋体" w:hAnsi="宋体" w:eastAsia="宋体" w:cs="宋体"/>
          <w:color w:val="auto"/>
          <w:kern w:val="2"/>
          <w:highlight w:val="none"/>
          <w:lang w:eastAsia="zh-CN"/>
        </w:rPr>
      </w:pPr>
    </w:p>
    <w:p>
      <w:pPr>
        <w:spacing w:before="65" w:line="223" w:lineRule="auto"/>
        <w:jc w:val="center"/>
        <w:rPr>
          <w:rFonts w:ascii="Times New Roman" w:hAnsi="Times New Roman" w:cs="Times New Roman"/>
          <w:b/>
          <w:color w:val="auto"/>
          <w:kern w:val="2"/>
          <w:highlight w:val="none"/>
          <w:lang w:eastAsia="zh-CN"/>
        </w:rPr>
      </w:pPr>
      <w:r>
        <w:rPr>
          <w:rFonts w:hint="eastAsia" w:ascii="Times New Roman" w:hAnsi="Times New Roman" w:cs="Times New Roman"/>
          <w:b/>
          <w:color w:val="auto"/>
          <w:kern w:val="2"/>
          <w:highlight w:val="none"/>
          <w:lang w:eastAsia="zh-CN"/>
        </w:rPr>
        <w:t>附录 4  资格审查条件(信誉最低要求)</w:t>
      </w:r>
    </w:p>
    <w:tbl>
      <w:tblPr>
        <w:tblStyle w:val="11"/>
        <w:tblW w:w="917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9174" w:type="dxa"/>
            <w:noWrap w:val="0"/>
            <w:vAlign w:val="top"/>
          </w:tcPr>
          <w:p>
            <w:pPr>
              <w:pStyle w:val="10"/>
              <w:rPr>
                <w:color w:val="auto"/>
                <w:highlight w:val="none"/>
              </w:rPr>
            </w:pPr>
            <w:r>
              <w:rPr>
                <w:rFonts w:hint="eastAsia"/>
                <w:color w:val="auto"/>
                <w:highlight w:val="none"/>
                <w:lang w:eastAsia="zh-CN"/>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jc w:val="center"/>
        </w:trPr>
        <w:tc>
          <w:tcPr>
            <w:tcW w:w="9174" w:type="dxa"/>
            <w:noWrap w:val="0"/>
            <w:vAlign w:val="top"/>
          </w:tcPr>
          <w:p>
            <w:pPr>
              <w:pStyle w:val="10"/>
              <w:jc w:val="left"/>
              <w:rPr>
                <w:color w:val="auto"/>
                <w:highlight w:val="none"/>
                <w:lang w:eastAsia="zh-CN"/>
              </w:rPr>
            </w:pPr>
            <w:r>
              <w:rPr>
                <w:rFonts w:hint="eastAsia" w:ascii="宋体" w:hAnsi="宋体" w:eastAsia="宋体" w:cs="宋体"/>
                <w:snapToGrid w:val="0"/>
                <w:color w:val="auto"/>
                <w:kern w:val="2"/>
                <w:sz w:val="21"/>
                <w:szCs w:val="21"/>
                <w:highlight w:val="none"/>
                <w:lang w:val="en-US" w:eastAsia="zh-CN" w:bidi="ar-SA"/>
              </w:rPr>
              <w:t>投标人过去1 年（2023年7月1日至今）中不曾在高速公路交通安全设施施工合同中违约而被驱逐或因投标人自身的原因而使高速公路交通安全设施施工合同被解除。</w:t>
            </w:r>
          </w:p>
        </w:tc>
      </w:tr>
    </w:tbl>
    <w:p>
      <w:pPr>
        <w:spacing w:before="65" w:line="223" w:lineRule="auto"/>
        <w:ind w:left="3254" w:firstLine="422"/>
        <w:rPr>
          <w:rFonts w:ascii="Times New Roman" w:hAnsi="Times New Roman" w:cs="Times New Roman"/>
          <w:b/>
          <w:color w:val="auto"/>
          <w:kern w:val="2"/>
          <w:highlight w:val="none"/>
          <w:lang w:eastAsia="zh-CN"/>
        </w:rPr>
      </w:pPr>
    </w:p>
    <w:p>
      <w:pPr>
        <w:spacing w:before="65" w:line="223" w:lineRule="auto"/>
        <w:jc w:val="center"/>
        <w:rPr>
          <w:rFonts w:ascii="Times New Roman" w:hAnsi="Times New Roman" w:cs="Times New Roman"/>
          <w:b/>
          <w:color w:val="auto"/>
          <w:kern w:val="2"/>
          <w:highlight w:val="none"/>
          <w:lang w:eastAsia="zh-CN"/>
        </w:rPr>
      </w:pPr>
      <w:r>
        <w:rPr>
          <w:rFonts w:hint="eastAsia" w:ascii="Times New Roman" w:hAnsi="Times New Roman" w:cs="Times New Roman"/>
          <w:b/>
          <w:color w:val="auto"/>
          <w:kern w:val="2"/>
          <w:highlight w:val="none"/>
          <w:lang w:eastAsia="zh-CN"/>
        </w:rPr>
        <w:t>附录 5  资格审查条件(项目经理最低要求)</w:t>
      </w:r>
    </w:p>
    <w:tbl>
      <w:tblPr>
        <w:tblStyle w:val="11"/>
        <w:tblpPr w:leftFromText="180" w:rightFromText="180" w:vertAnchor="text" w:horzAnchor="page" w:tblpXSpec="center" w:tblpY="285"/>
        <w:tblOverlap w:val="never"/>
        <w:tblW w:w="9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13" w:type="dxa"/>
          <w:bottom w:w="0" w:type="dxa"/>
          <w:right w:w="113" w:type="dxa"/>
        </w:tblCellMar>
      </w:tblPr>
      <w:tblGrid>
        <w:gridCol w:w="666"/>
        <w:gridCol w:w="690"/>
        <w:gridCol w:w="6193"/>
        <w:gridCol w:w="16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0" w:type="dxa"/>
            <w:right w:w="113" w:type="dxa"/>
          </w:tblCellMar>
        </w:tblPrEx>
        <w:trPr>
          <w:trHeight w:val="130" w:hRule="atLeast"/>
          <w:jc w:val="center"/>
        </w:trPr>
        <w:tc>
          <w:tcPr>
            <w:tcW w:w="666" w:type="dxa"/>
            <w:tcBorders>
              <w:tl2br w:val="nil"/>
              <w:tr2bl w:val="nil"/>
            </w:tcBorders>
            <w:noWrap w:val="0"/>
            <w:vAlign w:val="top"/>
          </w:tcPr>
          <w:p>
            <w:pPr>
              <w:pStyle w:val="10"/>
              <w:rPr>
                <w:color w:val="auto"/>
                <w:highlight w:val="none"/>
                <w:lang w:eastAsia="zh-CN"/>
              </w:rPr>
            </w:pPr>
            <w:r>
              <w:rPr>
                <w:rFonts w:hint="eastAsia"/>
                <w:color w:val="auto"/>
                <w:highlight w:val="none"/>
                <w:lang w:eastAsia="zh-CN"/>
              </w:rPr>
              <w:t>人员</w:t>
            </w:r>
          </w:p>
        </w:tc>
        <w:tc>
          <w:tcPr>
            <w:tcW w:w="690" w:type="dxa"/>
            <w:tcBorders>
              <w:tl2br w:val="nil"/>
              <w:tr2bl w:val="nil"/>
            </w:tcBorders>
            <w:noWrap w:val="0"/>
            <w:vAlign w:val="top"/>
          </w:tcPr>
          <w:p>
            <w:pPr>
              <w:pStyle w:val="10"/>
              <w:rPr>
                <w:color w:val="auto"/>
                <w:highlight w:val="none"/>
                <w:lang w:eastAsia="zh-CN"/>
              </w:rPr>
            </w:pPr>
            <w:r>
              <w:rPr>
                <w:rFonts w:hint="eastAsia"/>
                <w:color w:val="auto"/>
                <w:highlight w:val="none"/>
                <w:lang w:eastAsia="zh-CN"/>
              </w:rPr>
              <w:t>数量</w:t>
            </w:r>
          </w:p>
        </w:tc>
        <w:tc>
          <w:tcPr>
            <w:tcW w:w="6193" w:type="dxa"/>
            <w:tcBorders>
              <w:tl2br w:val="nil"/>
              <w:tr2bl w:val="nil"/>
            </w:tcBorders>
            <w:noWrap w:val="0"/>
            <w:vAlign w:val="top"/>
          </w:tcPr>
          <w:p>
            <w:pPr>
              <w:pStyle w:val="10"/>
              <w:rPr>
                <w:color w:val="auto"/>
                <w:highlight w:val="none"/>
                <w:lang w:eastAsia="zh-CN"/>
              </w:rPr>
            </w:pPr>
            <w:r>
              <w:rPr>
                <w:rFonts w:hint="eastAsia"/>
                <w:color w:val="auto"/>
                <w:highlight w:val="none"/>
                <w:lang w:eastAsia="zh-CN"/>
              </w:rPr>
              <w:t>资格要求</w:t>
            </w:r>
          </w:p>
        </w:tc>
        <w:tc>
          <w:tcPr>
            <w:tcW w:w="1650" w:type="dxa"/>
            <w:tcBorders>
              <w:tl2br w:val="nil"/>
              <w:tr2bl w:val="nil"/>
            </w:tcBorders>
            <w:noWrap w:val="0"/>
            <w:vAlign w:val="top"/>
          </w:tcPr>
          <w:p>
            <w:pPr>
              <w:pStyle w:val="10"/>
              <w:rPr>
                <w:color w:val="auto"/>
                <w:highlight w:val="none"/>
                <w:lang w:eastAsia="zh-CN"/>
              </w:rPr>
            </w:pPr>
            <w:r>
              <w:rPr>
                <w:rFonts w:hint="eastAsia"/>
                <w:color w:val="auto"/>
                <w:highlight w:val="none"/>
                <w:lang w:eastAsia="zh-CN"/>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0" w:type="dxa"/>
            <w:right w:w="113" w:type="dxa"/>
          </w:tblCellMar>
        </w:tblPrEx>
        <w:trPr>
          <w:trHeight w:val="2149" w:hRule="atLeast"/>
          <w:jc w:val="center"/>
        </w:trPr>
        <w:tc>
          <w:tcPr>
            <w:tcW w:w="666" w:type="dxa"/>
            <w:tcBorders>
              <w:tl2br w:val="nil"/>
              <w:tr2bl w:val="nil"/>
            </w:tcBorders>
            <w:noWrap w:val="0"/>
            <w:vAlign w:val="center"/>
          </w:tcPr>
          <w:p>
            <w:pPr>
              <w:pStyle w:val="10"/>
              <w:rPr>
                <w:snapToGrid/>
                <w:color w:val="auto"/>
                <w:highlight w:val="none"/>
                <w:lang w:eastAsia="zh-CN"/>
              </w:rPr>
            </w:pPr>
            <w:r>
              <w:rPr>
                <w:rFonts w:hint="eastAsia"/>
                <w:snapToGrid/>
                <w:color w:val="auto"/>
                <w:highlight w:val="none"/>
                <w:lang w:eastAsia="zh-CN"/>
              </w:rPr>
              <w:t>项目经理</w:t>
            </w:r>
          </w:p>
        </w:tc>
        <w:tc>
          <w:tcPr>
            <w:tcW w:w="690" w:type="dxa"/>
            <w:tcBorders>
              <w:tl2br w:val="nil"/>
              <w:tr2bl w:val="nil"/>
            </w:tcBorders>
            <w:noWrap w:val="0"/>
            <w:vAlign w:val="center"/>
          </w:tcPr>
          <w:p>
            <w:pPr>
              <w:pStyle w:val="10"/>
              <w:rPr>
                <w:snapToGrid/>
                <w:color w:val="auto"/>
                <w:highlight w:val="none"/>
                <w:lang w:eastAsia="zh-CN"/>
              </w:rPr>
            </w:pPr>
            <w:r>
              <w:rPr>
                <w:rFonts w:hint="eastAsia"/>
                <w:snapToGrid/>
                <w:color w:val="auto"/>
                <w:highlight w:val="none"/>
                <w:lang w:eastAsia="zh-CN"/>
              </w:rPr>
              <w:t>1</w:t>
            </w:r>
          </w:p>
        </w:tc>
        <w:tc>
          <w:tcPr>
            <w:tcW w:w="6193" w:type="dxa"/>
            <w:tcBorders>
              <w:tl2br w:val="nil"/>
              <w:tr2bl w:val="nil"/>
            </w:tcBorders>
            <w:noWrap w:val="0"/>
            <w:vAlign w:val="top"/>
          </w:tcPr>
          <w:p>
            <w:pPr>
              <w:pStyle w:val="2"/>
              <w:widowControl w:val="0"/>
              <w:kinsoku/>
              <w:adjustRightInd/>
              <w:snapToGrid/>
              <w:spacing w:line="300" w:lineRule="exact"/>
              <w:ind w:firstLine="0" w:firstLineChars="0"/>
              <w:textAlignment w:val="auto"/>
              <w:rPr>
                <w:rFonts w:ascii="Times New Roman" w:hAnsi="Times New Roman" w:eastAsia="宋体" w:cs="Times New Roman"/>
                <w:snapToGrid/>
                <w:color w:val="auto"/>
                <w:kern w:val="2"/>
                <w:highlight w:val="none"/>
                <w:lang w:eastAsia="zh-CN"/>
              </w:rPr>
            </w:pPr>
            <w:r>
              <w:rPr>
                <w:rFonts w:hint="eastAsia" w:ascii="Times New Roman" w:hAnsi="Times New Roman" w:eastAsia="宋体" w:cs="Times New Roman"/>
                <w:snapToGrid/>
                <w:color w:val="auto"/>
                <w:kern w:val="2"/>
                <w:highlight w:val="none"/>
                <w:lang w:eastAsia="zh-CN"/>
              </w:rPr>
              <w:t>工程师及以上职称；</w:t>
            </w:r>
          </w:p>
          <w:p>
            <w:pPr>
              <w:pStyle w:val="2"/>
              <w:widowControl w:val="0"/>
              <w:kinsoku/>
              <w:adjustRightInd/>
              <w:snapToGrid/>
              <w:spacing w:line="300" w:lineRule="exact"/>
              <w:ind w:firstLine="0" w:firstLineChars="0"/>
              <w:textAlignment w:val="auto"/>
              <w:rPr>
                <w:rFonts w:ascii="Times New Roman" w:hAnsi="Times New Roman" w:eastAsia="宋体" w:cs="Times New Roman"/>
                <w:snapToGrid/>
                <w:color w:val="auto"/>
                <w:kern w:val="2"/>
                <w:highlight w:val="none"/>
                <w:lang w:eastAsia="zh-CN"/>
              </w:rPr>
            </w:pPr>
            <w:r>
              <w:rPr>
                <w:rFonts w:hint="eastAsia" w:ascii="Times New Roman" w:hAnsi="Times New Roman" w:eastAsia="宋体" w:cs="Times New Roman"/>
                <w:snapToGrid/>
                <w:color w:val="auto"/>
                <w:kern w:val="2"/>
                <w:highlight w:val="none"/>
                <w:lang w:eastAsia="zh-CN"/>
              </w:rPr>
              <w:t>具有“公路工程”专业的“一级建造师注册证书”，建造师注册证书的注册单位须与投标人单位名称一致，具有交通运输行政主管部门颁发的《安全生产考核合格证书》（B类），安全生产考核合格证书的登记单位须与投标人单位名称一致。</w:t>
            </w:r>
          </w:p>
          <w:p>
            <w:pPr>
              <w:pStyle w:val="2"/>
              <w:widowControl w:val="0"/>
              <w:kinsoku/>
              <w:adjustRightInd/>
              <w:snapToGrid/>
              <w:spacing w:line="300" w:lineRule="exact"/>
              <w:ind w:firstLine="0" w:firstLineChars="0"/>
              <w:textAlignment w:val="auto"/>
              <w:rPr>
                <w:rFonts w:ascii="Times New Roman" w:hAnsi="Times New Roman" w:eastAsia="宋体" w:cs="Times New Roman"/>
                <w:snapToGrid/>
                <w:color w:val="auto"/>
                <w:kern w:val="2"/>
                <w:highlight w:val="none"/>
                <w:lang w:eastAsia="zh-CN"/>
              </w:rPr>
            </w:pPr>
            <w:r>
              <w:rPr>
                <w:rFonts w:hint="eastAsia" w:ascii="Times New Roman" w:hAnsi="Times New Roman" w:eastAsia="宋体" w:cs="Times New Roman"/>
                <w:snapToGrid/>
                <w:color w:val="auto"/>
                <w:kern w:val="2"/>
                <w:highlight w:val="none"/>
                <w:lang w:eastAsia="zh-CN"/>
              </w:rPr>
              <w:t>近五年（2019年7月1日至今，以交工时间为准）担任过一条（段）高速公路交通安全设施工程（或含有交通安全设施工程）施工的项目经理。</w:t>
            </w:r>
          </w:p>
        </w:tc>
        <w:tc>
          <w:tcPr>
            <w:tcW w:w="1650" w:type="dxa"/>
            <w:tcBorders>
              <w:tl2br w:val="nil"/>
              <w:tr2bl w:val="nil"/>
            </w:tcBorders>
            <w:noWrap w:val="0"/>
            <w:vAlign w:val="top"/>
          </w:tcPr>
          <w:p>
            <w:pPr>
              <w:pStyle w:val="2"/>
              <w:widowControl w:val="0"/>
              <w:kinsoku/>
              <w:adjustRightInd/>
              <w:snapToGrid/>
              <w:spacing w:line="300" w:lineRule="exact"/>
              <w:ind w:firstLine="0" w:firstLineChars="0"/>
              <w:textAlignment w:val="auto"/>
              <w:rPr>
                <w:rFonts w:ascii="Times New Roman" w:hAnsi="Times New Roman" w:eastAsia="宋体" w:cs="Times New Roman"/>
                <w:snapToGrid/>
                <w:color w:val="auto"/>
                <w:kern w:val="2"/>
                <w:highlight w:val="none"/>
                <w:lang w:eastAsia="zh-CN"/>
              </w:rPr>
            </w:pPr>
            <w:r>
              <w:rPr>
                <w:rFonts w:hint="eastAsia" w:ascii="Times New Roman" w:hAnsi="Times New Roman" w:eastAsia="宋体" w:cs="Times New Roman"/>
                <w:snapToGrid/>
                <w:color w:val="auto"/>
                <w:kern w:val="2"/>
                <w:highlight w:val="none"/>
                <w:lang w:eastAsia="zh-CN"/>
              </w:rPr>
              <w:t>目前未在其他项目上任职，或虽在其他项目上任职但本项目中标后能够从该项目撤离</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4"/>
      <w:lvlText w:val="%1."/>
      <w:lvlJc w:val="left"/>
      <w:pPr>
        <w:ind w:left="284" w:hanging="284"/>
      </w:pPr>
      <w:rPr>
        <w:rFonts w:hint="default" w:ascii="宋体" w:hAnsi="宋体" w:eastAsia="宋体" w:cs="宋体"/>
        <w:b/>
        <w:bCs/>
        <w:spacing w:val="-3"/>
        <w:w w:val="99"/>
        <w:sz w:val="20"/>
        <w:szCs w:val="20"/>
      </w:rPr>
    </w:lvl>
    <w:lvl w:ilvl="1" w:tentative="0">
      <w:start w:val="1"/>
      <w:numFmt w:val="decimal"/>
      <w:lvlText w:val="%1.%2."/>
      <w:lvlJc w:val="left"/>
      <w:pPr>
        <w:ind w:left="567" w:hanging="227"/>
      </w:pPr>
      <w:rPr>
        <w:rFonts w:hint="default" w:ascii="宋体" w:hAnsi="宋体" w:eastAsia="宋体" w:cs="宋体"/>
        <w:spacing w:val="-1"/>
        <w:w w:val="100"/>
        <w:sz w:val="21"/>
        <w:szCs w:val="20"/>
      </w:rPr>
    </w:lvl>
    <w:lvl w:ilvl="2" w:tentative="0">
      <w:start w:val="1"/>
      <w:numFmt w:val="decimal"/>
      <w:lvlText w:val="%1.%2.%3"/>
      <w:lvlJc w:val="left"/>
      <w:pPr>
        <w:ind w:left="1304" w:hanging="605"/>
      </w:pPr>
      <w:rPr>
        <w:rFonts w:hint="default" w:ascii="宋体" w:hAnsi="宋体" w:eastAsia="宋体" w:cs="宋体"/>
        <w:spacing w:val="-1"/>
        <w:w w:val="100"/>
        <w:sz w:val="21"/>
        <w:szCs w:val="22"/>
      </w:rPr>
    </w:lvl>
    <w:lvl w:ilvl="3" w:tentative="0">
      <w:start w:val="0"/>
      <w:numFmt w:val="bullet"/>
      <w:lvlText w:val="•"/>
      <w:lvlJc w:val="left"/>
      <w:pPr>
        <w:ind w:left="2345" w:hanging="605"/>
      </w:pPr>
      <w:rPr>
        <w:rFonts w:hint="default"/>
      </w:rPr>
    </w:lvl>
    <w:lvl w:ilvl="4" w:tentative="0">
      <w:start w:val="0"/>
      <w:numFmt w:val="bullet"/>
      <w:lvlText w:val="•"/>
      <w:lvlJc w:val="left"/>
      <w:pPr>
        <w:ind w:left="3391" w:hanging="605"/>
      </w:pPr>
      <w:rPr>
        <w:rFonts w:hint="default"/>
      </w:rPr>
    </w:lvl>
    <w:lvl w:ilvl="5" w:tentative="0">
      <w:start w:val="0"/>
      <w:numFmt w:val="bullet"/>
      <w:lvlText w:val="•"/>
      <w:lvlJc w:val="left"/>
      <w:pPr>
        <w:ind w:left="4437" w:hanging="605"/>
      </w:pPr>
      <w:rPr>
        <w:rFonts w:hint="default"/>
      </w:rPr>
    </w:lvl>
    <w:lvl w:ilvl="6" w:tentative="0">
      <w:start w:val="0"/>
      <w:numFmt w:val="bullet"/>
      <w:lvlText w:val="•"/>
      <w:lvlJc w:val="left"/>
      <w:pPr>
        <w:ind w:left="5483" w:hanging="605"/>
      </w:pPr>
      <w:rPr>
        <w:rFonts w:hint="default"/>
      </w:rPr>
    </w:lvl>
    <w:lvl w:ilvl="7" w:tentative="0">
      <w:start w:val="0"/>
      <w:numFmt w:val="bullet"/>
      <w:lvlText w:val="•"/>
      <w:lvlJc w:val="left"/>
      <w:pPr>
        <w:ind w:left="6528" w:hanging="605"/>
      </w:pPr>
      <w:rPr>
        <w:rFonts w:hint="default"/>
      </w:rPr>
    </w:lvl>
    <w:lvl w:ilvl="8" w:tentative="0">
      <w:start w:val="0"/>
      <w:numFmt w:val="bullet"/>
      <w:lvlText w:val="•"/>
      <w:lvlJc w:val="left"/>
      <w:pPr>
        <w:ind w:left="7574" w:hanging="6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322460FD"/>
    <w:rsid w:val="322460FD"/>
    <w:rsid w:val="55280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360" w:lineRule="auto"/>
      <w:ind w:firstLine="420" w:firstLineChars="200"/>
      <w:textAlignment w:val="baseline"/>
    </w:pPr>
    <w:rPr>
      <w:rFonts w:ascii="Arial" w:hAnsi="Arial" w:eastAsia="宋体" w:cs="Arial"/>
      <w:snapToGrid w:val="0"/>
      <w:color w:val="000000"/>
      <w:sz w:val="21"/>
      <w:szCs w:val="21"/>
      <w:lang w:val="en-US" w:eastAsia="en-US" w:bidi="ar-SA"/>
    </w:rPr>
  </w:style>
  <w:style w:type="paragraph" w:styleId="4">
    <w:name w:val="heading 3"/>
    <w:basedOn w:val="5"/>
    <w:next w:val="1"/>
    <w:qFormat/>
    <w:uiPriority w:val="99"/>
    <w:pPr>
      <w:numPr>
        <w:ilvl w:val="0"/>
        <w:numId w:val="1"/>
      </w:numPr>
      <w:tabs>
        <w:tab w:val="left" w:pos="486"/>
      </w:tabs>
      <w:outlineLvl w:val="2"/>
    </w:pPr>
    <w:rPr>
      <w:b/>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rFonts w:eastAsia="Arial"/>
    </w:rPr>
  </w:style>
  <w:style w:type="paragraph" w:styleId="3">
    <w:name w:val="Body Text 2"/>
    <w:basedOn w:val="1"/>
    <w:next w:val="1"/>
    <w:qFormat/>
    <w:uiPriority w:val="0"/>
    <w:rPr>
      <w:rFonts w:ascii="仿宋_GB2312" w:hAnsi="宋体" w:eastAsia="仿宋_GB2312"/>
    </w:rPr>
  </w:style>
  <w:style w:type="paragraph" w:styleId="5">
    <w:name w:val="List Paragraph"/>
    <w:basedOn w:val="1"/>
    <w:qFormat/>
    <w:uiPriority w:val="1"/>
    <w:pPr>
      <w:ind w:left="404"/>
    </w:pPr>
    <w:rPr>
      <w:rFonts w:ascii="宋体" w:hAnsi="宋体" w:cs="宋体"/>
      <w:lang w:eastAsia="zh-CN"/>
    </w:rPr>
  </w:style>
  <w:style w:type="paragraph" w:styleId="6">
    <w:name w:val="footer"/>
    <w:basedOn w:val="1"/>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jc w:val="both"/>
    </w:pPr>
    <w:rPr>
      <w:sz w:val="18"/>
    </w:rPr>
  </w:style>
  <w:style w:type="paragraph" w:customStyle="1" w:styleId="10">
    <w:name w:val="Table Text"/>
    <w:basedOn w:val="1"/>
    <w:semiHidden/>
    <w:qFormat/>
    <w:uiPriority w:val="0"/>
    <w:pPr>
      <w:spacing w:before="65" w:line="231" w:lineRule="auto"/>
      <w:ind w:firstLine="0" w:firstLineChars="0"/>
      <w:jc w:val="center"/>
    </w:pPr>
    <w:rPr>
      <w:rFonts w:ascii="宋体" w:hAnsi="宋体" w:cs="宋体"/>
      <w:kern w:val="2"/>
      <w:sz w:val="18"/>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2024-07-17T01:33:00Z</dcterms:created>
  <dc:creator>赵凌云</dc:creator>
  <cp:lastModifiedBy>赵凌云</cp:lastModifiedBy>
  <dcterms:modified xsi:type="dcterms:W3CDTF">2024-07-17T01:33:30Z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4A4F5EC430F94FD2B885875F6786AD27_13</vt:lpwstr>
  </property>
</Properties>
</file>