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outlineLvl w:val="0"/>
        <w:rPr>
          <w:rFonts w:hint="eastAsia" w:ascii="宋体" w:hAnsi="宋体" w:cs="宋体"/>
          <w:b/>
          <w:kern w:val="21"/>
          <w:sz w:val="24"/>
        </w:rPr>
      </w:pPr>
      <w:r>
        <w:rPr>
          <w:rFonts w:hint="eastAsia" w:ascii="宋体" w:hAnsi="宋体" w:cs="宋体"/>
          <w:b/>
          <w:kern w:val="21"/>
          <w:sz w:val="24"/>
        </w:rPr>
        <w:t>附件1：资格审查条件</w:t>
      </w:r>
    </w:p>
    <w:p>
      <w:pPr>
        <w:spacing w:line="480" w:lineRule="exact"/>
        <w:jc w:val="center"/>
        <w:rPr>
          <w:rStyle w:val="4"/>
          <w:rFonts w:hint="eastAsia" w:ascii="宋体" w:hAnsi="宋体"/>
          <w:b/>
          <w:bCs/>
          <w:szCs w:val="21"/>
        </w:rPr>
      </w:pPr>
      <w:r>
        <w:rPr>
          <w:rStyle w:val="4"/>
          <w:rFonts w:hint="eastAsia" w:ascii="宋体" w:hAnsi="宋体"/>
          <w:b/>
          <w:bCs/>
          <w:szCs w:val="21"/>
        </w:rPr>
        <w:t>附录1  资格审查条件（资质最低条件）</w:t>
      </w: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1282"/>
        <w:gridCol w:w="7795"/>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501" w:hRule="atLeast"/>
          <w:jc w:val="center"/>
        </w:trPr>
        <w:tc>
          <w:tcPr>
            <w:tcW w:w="1282" w:type="dxa"/>
            <w:tcBorders>
              <w:left w:val="single" w:color="auto" w:sz="4" w:space="0"/>
              <w:right w:val="single" w:color="auto" w:sz="4" w:space="0"/>
            </w:tcBorders>
            <w:vAlign w:val="center"/>
          </w:tcPr>
          <w:p>
            <w:pPr>
              <w:autoSpaceDE w:val="0"/>
              <w:autoSpaceDN w:val="0"/>
              <w:spacing w:line="288" w:lineRule="auto"/>
              <w:jc w:val="left"/>
              <w:rPr>
                <w:rFonts w:hint="eastAsia" w:ascii="宋体" w:hAnsi="宋体"/>
                <w:szCs w:val="21"/>
              </w:rPr>
            </w:pPr>
            <w:r>
              <w:rPr>
                <w:rFonts w:ascii="宋体" w:hAnsi="宋体" w:cs="QESITV+SimSun"/>
              </w:rPr>
              <w:t>投标人身份</w:t>
            </w:r>
          </w:p>
        </w:tc>
        <w:tc>
          <w:tcPr>
            <w:tcW w:w="7795" w:type="dxa"/>
            <w:tcBorders>
              <w:left w:val="single" w:color="auto" w:sz="4" w:space="0"/>
            </w:tcBorders>
            <w:vAlign w:val="center"/>
          </w:tcPr>
          <w:p>
            <w:pPr>
              <w:adjustRightInd w:val="0"/>
              <w:snapToGrid w:val="0"/>
              <w:spacing w:line="288" w:lineRule="auto"/>
              <w:jc w:val="center"/>
              <w:rPr>
                <w:rFonts w:hint="eastAsia" w:ascii="宋体" w:hAnsi="宋体"/>
                <w:szCs w:val="21"/>
              </w:rPr>
            </w:pPr>
            <w:r>
              <w:rPr>
                <w:rFonts w:hint="eastAsia" w:ascii="宋体" w:hAnsi="宋体"/>
                <w:szCs w:val="21"/>
              </w:rPr>
              <w:t>资质要求</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006" w:hRule="atLeast"/>
          <w:jc w:val="center"/>
        </w:trPr>
        <w:tc>
          <w:tcPr>
            <w:tcW w:w="1282"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hint="eastAsia" w:ascii="宋体" w:hAnsi="宋体" w:cs="宋体"/>
                <w:szCs w:val="21"/>
              </w:rPr>
            </w:pPr>
            <w:r>
              <w:rPr>
                <w:rFonts w:ascii="宋体" w:hAnsi="宋体" w:cs="QESITV+SimSun"/>
              </w:rPr>
              <w:t>制造商</w:t>
            </w:r>
          </w:p>
        </w:tc>
        <w:tc>
          <w:tcPr>
            <w:tcW w:w="7795" w:type="dxa"/>
            <w:tcBorders>
              <w:top w:val="single" w:color="auto" w:sz="4" w:space="0"/>
              <w:left w:val="single" w:color="auto" w:sz="4" w:space="0"/>
              <w:bottom w:val="single" w:color="auto" w:sz="4" w:space="0"/>
            </w:tcBorders>
            <w:vAlign w:val="center"/>
          </w:tcPr>
          <w:p>
            <w:pPr>
              <w:spacing w:line="400" w:lineRule="exact"/>
              <w:jc w:val="left"/>
              <w:rPr>
                <w:rFonts w:hint="eastAsia" w:ascii="宋体" w:hAnsi="宋体"/>
              </w:rPr>
            </w:pPr>
            <w:r>
              <w:rPr>
                <w:rFonts w:hint="eastAsia" w:ascii="宋体" w:hAnsi="宋体"/>
              </w:rPr>
              <w:t>投标人如为制造商，可以是国产沥青制造商（含制造商的国内销售公司）或</w:t>
            </w:r>
            <w:r>
              <w:rPr>
                <w:rFonts w:ascii="宋体" w:hAnsi="宋体"/>
              </w:rPr>
              <w:t>进口沥青制造商的中国销售公司</w:t>
            </w:r>
            <w:r>
              <w:rPr>
                <w:rFonts w:hint="eastAsia" w:ascii="宋体" w:hAnsi="宋体"/>
              </w:rPr>
              <w:t>，持有有效的营业执照（所使用品牌在中国境内的年生产能力不小于</w:t>
            </w:r>
            <w:r>
              <w:rPr>
                <w:rFonts w:ascii="宋体" w:hAnsi="宋体"/>
              </w:rPr>
              <w:t>2</w:t>
            </w:r>
            <w:r>
              <w:rPr>
                <w:rFonts w:hint="eastAsia" w:ascii="宋体" w:hAnsi="宋体"/>
              </w:rPr>
              <w:t>00万吨）。</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006" w:hRule="atLeast"/>
          <w:jc w:val="center"/>
        </w:trPr>
        <w:tc>
          <w:tcPr>
            <w:tcW w:w="1282"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hint="eastAsia" w:ascii="宋体" w:hAnsi="宋体" w:cs="宋体"/>
                <w:szCs w:val="21"/>
              </w:rPr>
            </w:pPr>
            <w:r>
              <w:rPr>
                <w:rFonts w:ascii="宋体" w:hAnsi="宋体" w:cs="QESITV+SimSun"/>
              </w:rPr>
              <w:t>代理商</w:t>
            </w:r>
          </w:p>
        </w:tc>
        <w:tc>
          <w:tcPr>
            <w:tcW w:w="7795" w:type="dxa"/>
            <w:tcBorders>
              <w:top w:val="single" w:color="auto" w:sz="4" w:space="0"/>
              <w:left w:val="single" w:color="auto" w:sz="4" w:space="0"/>
              <w:bottom w:val="single" w:color="auto" w:sz="4" w:space="0"/>
            </w:tcBorders>
            <w:vAlign w:val="center"/>
          </w:tcPr>
          <w:p>
            <w:pPr>
              <w:spacing w:line="400" w:lineRule="exact"/>
              <w:jc w:val="left"/>
              <w:rPr>
                <w:rFonts w:hint="eastAsia" w:ascii="宋体" w:hAnsi="宋体"/>
                <w:szCs w:val="21"/>
              </w:rPr>
            </w:pPr>
            <w:r>
              <w:rPr>
                <w:rFonts w:hint="eastAsia" w:ascii="宋体" w:hAnsi="宋体"/>
                <w:szCs w:val="21"/>
              </w:rPr>
              <w:t>投标人如为代理商，应具有独立企业法人资格</w:t>
            </w:r>
            <w:r>
              <w:rPr>
                <w:rFonts w:hint="eastAsia" w:ascii="宋体" w:hAnsi="宋体"/>
              </w:rPr>
              <w:t>，持有有效的营业执照</w:t>
            </w:r>
            <w:r>
              <w:rPr>
                <w:rFonts w:hint="eastAsia" w:ascii="宋体" w:hAnsi="宋体" w:cs="宋体"/>
                <w:szCs w:val="21"/>
              </w:rPr>
              <w:t>。具有制造商</w:t>
            </w:r>
            <w:r>
              <w:rPr>
                <w:rFonts w:hint="eastAsia" w:ascii="宋体" w:hAnsi="宋体"/>
                <w:szCs w:val="21"/>
              </w:rPr>
              <w:t>出具的针对本招标项目的唯一授权，且其代理的制造商必须满足对上述投标人为制造商的资格要求。</w:t>
            </w:r>
          </w:p>
        </w:tc>
      </w:tr>
    </w:tbl>
    <w:p>
      <w:pPr>
        <w:spacing w:line="400" w:lineRule="exact"/>
        <w:rPr>
          <w:rFonts w:hint="eastAsia" w:ascii="宋体" w:hAnsi="宋体"/>
          <w:szCs w:val="21"/>
        </w:rPr>
      </w:pPr>
    </w:p>
    <w:p>
      <w:pPr>
        <w:spacing w:line="480" w:lineRule="exact"/>
        <w:jc w:val="center"/>
        <w:rPr>
          <w:rStyle w:val="4"/>
          <w:rFonts w:hint="eastAsia" w:ascii="宋体" w:hAnsi="宋体"/>
          <w:b/>
          <w:bCs/>
          <w:szCs w:val="21"/>
        </w:rPr>
      </w:pPr>
      <w:r>
        <w:rPr>
          <w:rStyle w:val="4"/>
          <w:rFonts w:hint="eastAsia" w:ascii="宋体" w:hAnsi="宋体"/>
          <w:b/>
          <w:bCs/>
          <w:szCs w:val="21"/>
        </w:rPr>
        <w:t>附录2  资格审查条件（财务最低要求）</w:t>
      </w: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8999"/>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501" w:hRule="atLeast"/>
          <w:jc w:val="center"/>
        </w:trPr>
        <w:tc>
          <w:tcPr>
            <w:tcW w:w="8999" w:type="dxa"/>
            <w:tcBorders>
              <w:left w:val="single" w:color="auto" w:sz="4" w:space="0"/>
            </w:tcBorders>
            <w:vAlign w:val="center"/>
          </w:tcPr>
          <w:p>
            <w:pPr>
              <w:spacing w:line="400" w:lineRule="exact"/>
              <w:jc w:val="center"/>
              <w:rPr>
                <w:rFonts w:hint="eastAsia" w:ascii="宋体" w:hAnsi="宋体"/>
                <w:szCs w:val="21"/>
              </w:rPr>
            </w:pPr>
            <w:r>
              <w:rPr>
                <w:rFonts w:hint="eastAsia" w:ascii="宋体" w:hAnsi="宋体"/>
                <w:szCs w:val="21"/>
              </w:rPr>
              <w:t>财务要求</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796" w:hRule="atLeast"/>
          <w:jc w:val="center"/>
        </w:trPr>
        <w:tc>
          <w:tcPr>
            <w:tcW w:w="8999" w:type="dxa"/>
            <w:tcBorders>
              <w:top w:val="single" w:color="auto" w:sz="4" w:space="0"/>
              <w:left w:val="single" w:color="auto" w:sz="4" w:space="0"/>
              <w:bottom w:val="single" w:color="auto" w:sz="4" w:space="0"/>
            </w:tcBorders>
            <w:vAlign w:val="center"/>
          </w:tcPr>
          <w:p>
            <w:pPr>
              <w:spacing w:line="400" w:lineRule="exact"/>
              <w:jc w:val="left"/>
              <w:rPr>
                <w:rFonts w:hint="eastAsia" w:ascii="宋体" w:hAnsi="宋体" w:cs="宋体"/>
                <w:szCs w:val="21"/>
              </w:rPr>
            </w:pPr>
            <w:r>
              <w:rPr>
                <w:rFonts w:hint="eastAsia" w:ascii="宋体" w:hAnsi="宋体"/>
                <w:szCs w:val="21"/>
              </w:rPr>
              <w:t>承诺为本合同所提供的运营资金（以经会计事务所或审计机构审计的最新财务报表（2022年度或2023年度）中：运营资金=流动资产-流动负债，以年末数计算）以及为本项目而专门开具的银行信贷证明总和不得低于</w:t>
            </w:r>
            <w:r>
              <w:rPr>
                <w:rFonts w:hint="eastAsia" w:ascii="宋体" w:hAnsi="宋体"/>
                <w:u w:val="single"/>
              </w:rPr>
              <w:t>2500</w:t>
            </w:r>
            <w:r>
              <w:rPr>
                <w:rFonts w:ascii="宋体" w:hAnsi="宋体"/>
                <w:u w:val="single"/>
              </w:rPr>
              <w:t>万元</w:t>
            </w:r>
            <w:r>
              <w:rPr>
                <w:rFonts w:hint="eastAsia" w:ascii="宋体" w:hAnsi="宋体"/>
              </w:rPr>
              <w:t>。</w:t>
            </w:r>
          </w:p>
        </w:tc>
      </w:tr>
    </w:tbl>
    <w:p>
      <w:pPr>
        <w:spacing w:line="480" w:lineRule="exact"/>
        <w:jc w:val="center"/>
        <w:rPr>
          <w:rStyle w:val="4"/>
          <w:rFonts w:ascii="宋体" w:hAnsi="宋体"/>
          <w:b/>
          <w:bCs/>
          <w:szCs w:val="21"/>
        </w:rPr>
      </w:pPr>
    </w:p>
    <w:p>
      <w:pPr>
        <w:spacing w:line="360" w:lineRule="auto"/>
        <w:jc w:val="center"/>
        <w:rPr>
          <w:rStyle w:val="4"/>
          <w:rFonts w:ascii="宋体" w:hAnsi="宋体"/>
          <w:b/>
          <w:bCs/>
          <w:szCs w:val="21"/>
        </w:rPr>
      </w:pPr>
      <w:r>
        <w:rPr>
          <w:rStyle w:val="4"/>
          <w:rFonts w:hint="eastAsia" w:ascii="宋体" w:hAnsi="宋体"/>
          <w:b/>
          <w:bCs/>
          <w:szCs w:val="21"/>
        </w:rPr>
        <w:t>附录3  资格审查条件（业绩最低要求）</w:t>
      </w: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9085"/>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501" w:hRule="atLeast"/>
          <w:jc w:val="center"/>
        </w:trPr>
        <w:tc>
          <w:tcPr>
            <w:tcW w:w="9085" w:type="dxa"/>
            <w:tcBorders>
              <w:left w:val="single" w:color="auto" w:sz="4" w:space="0"/>
            </w:tcBorders>
            <w:vAlign w:val="center"/>
          </w:tcPr>
          <w:p>
            <w:pPr>
              <w:adjustRightInd w:val="0"/>
              <w:snapToGrid w:val="0"/>
              <w:ind w:left="-2" w:leftChars="-1"/>
              <w:jc w:val="center"/>
              <w:rPr>
                <w:rFonts w:ascii="宋体" w:hAnsi="宋体"/>
                <w:szCs w:val="21"/>
              </w:rPr>
            </w:pPr>
            <w:r>
              <w:rPr>
                <w:rFonts w:hint="eastAsia" w:ascii="宋体" w:hAnsi="宋体"/>
              </w:rPr>
              <w:t>业 绩 要 求</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2221" w:hRule="atLeast"/>
          <w:jc w:val="center"/>
        </w:trPr>
        <w:tc>
          <w:tcPr>
            <w:tcW w:w="9085" w:type="dxa"/>
            <w:tcBorders>
              <w:top w:val="single" w:color="auto" w:sz="4" w:space="0"/>
              <w:left w:val="single" w:color="auto" w:sz="4" w:space="0"/>
            </w:tcBorders>
            <w:vAlign w:val="center"/>
          </w:tcPr>
          <w:p>
            <w:pPr>
              <w:spacing w:line="360" w:lineRule="exact"/>
              <w:rPr>
                <w:rFonts w:ascii="宋体" w:hAnsi="宋体"/>
                <w:lang w:val="zh-CN"/>
              </w:rPr>
            </w:pPr>
            <w:r>
              <w:rPr>
                <w:rFonts w:hint="eastAsia" w:ascii="宋体" w:hAnsi="宋体"/>
              </w:rPr>
              <w:t>投标产品业绩要求：</w:t>
            </w:r>
          </w:p>
          <w:p>
            <w:pPr>
              <w:spacing w:line="400" w:lineRule="exact"/>
              <w:ind w:firstLine="420" w:firstLineChars="200"/>
              <w:rPr>
                <w:rFonts w:ascii="宋体" w:hAnsi="宋体"/>
                <w:lang w:val="zh-CN"/>
              </w:rPr>
            </w:pPr>
            <w:r>
              <w:rPr>
                <w:rFonts w:hint="eastAsia" w:ascii="宋体" w:hAnsi="宋体"/>
              </w:rPr>
              <w:t>近3年内（2021年6月1日至开标日，以合同签订日期为准）在新建或改扩建高速公路项目</w:t>
            </w:r>
            <w:r>
              <w:rPr>
                <w:rFonts w:hint="eastAsia" w:ascii="宋体" w:hAnsi="宋体"/>
                <w:lang w:val="zh-CN"/>
              </w:rPr>
              <w:t>中，</w:t>
            </w:r>
            <w:r>
              <w:rPr>
                <w:rFonts w:hint="eastAsia" w:ascii="宋体" w:hAnsi="宋体"/>
              </w:rPr>
              <w:t>累计完成不少于4</w:t>
            </w:r>
            <w:r>
              <w:rPr>
                <w:rFonts w:hint="eastAsia" w:ascii="宋体" w:hAnsi="宋体"/>
                <w:lang w:val="zh-CN"/>
              </w:rPr>
              <w:t>0000吨的沥青供货业绩。</w:t>
            </w:r>
          </w:p>
          <w:p>
            <w:pPr>
              <w:spacing w:line="400" w:lineRule="exact"/>
              <w:rPr>
                <w:rFonts w:ascii="宋体" w:hAnsi="宋体"/>
              </w:rPr>
            </w:pPr>
            <w:r>
              <w:rPr>
                <w:rFonts w:hint="eastAsia" w:ascii="宋体" w:hAnsi="宋体"/>
              </w:rPr>
              <w:t>注：1.</w:t>
            </w:r>
            <w:r>
              <w:rPr>
                <w:rFonts w:ascii="宋体" w:hAnsi="宋体"/>
              </w:rPr>
              <w:t>代理商</w:t>
            </w:r>
            <w:r>
              <w:rPr>
                <w:rFonts w:hint="eastAsia" w:ascii="宋体" w:hAnsi="宋体"/>
              </w:rPr>
              <w:t>和制造商的业绩可互用。</w:t>
            </w:r>
          </w:p>
          <w:p>
            <w:pPr>
              <w:spacing w:line="400" w:lineRule="exact"/>
              <w:ind w:firstLine="420" w:firstLineChars="200"/>
              <w:rPr>
                <w:rFonts w:ascii="宋体" w:hAnsi="宋体"/>
              </w:rPr>
            </w:pPr>
            <w:r>
              <w:rPr>
                <w:rFonts w:hint="eastAsia" w:ascii="宋体" w:hAnsi="宋体"/>
              </w:rPr>
              <w:t>2.</w:t>
            </w:r>
            <w:r>
              <w:rPr>
                <w:rFonts w:hint="eastAsia" w:ascii="宋体" w:hAnsi="宋体"/>
                <w:szCs w:val="21"/>
              </w:rPr>
              <w:t>供货业绩指直接给施工单位或项目业主的沥青供货业绩。生产厂家之间、经销代理商之间、生产厂家与经销代理商之间的供应业绩均不予认可。</w:t>
            </w:r>
          </w:p>
        </w:tc>
      </w:tr>
    </w:tbl>
    <w:p>
      <w:pPr>
        <w:spacing w:line="480" w:lineRule="exact"/>
        <w:jc w:val="center"/>
        <w:rPr>
          <w:rStyle w:val="4"/>
          <w:rFonts w:ascii="宋体" w:hAnsi="宋体"/>
          <w:b/>
          <w:bCs/>
          <w:szCs w:val="21"/>
        </w:rPr>
      </w:pPr>
    </w:p>
    <w:p>
      <w:pPr>
        <w:spacing w:line="480" w:lineRule="exact"/>
        <w:jc w:val="center"/>
        <w:rPr>
          <w:rStyle w:val="4"/>
          <w:rFonts w:hint="eastAsia" w:ascii="宋体" w:hAnsi="宋体"/>
          <w:szCs w:val="21"/>
        </w:rPr>
      </w:pPr>
      <w:r>
        <w:rPr>
          <w:rStyle w:val="4"/>
          <w:rFonts w:hint="eastAsia" w:ascii="宋体" w:hAnsi="宋体"/>
          <w:b/>
          <w:bCs/>
          <w:szCs w:val="21"/>
        </w:rPr>
        <w:t>附录4  资格审查条件（信誉最低要求）</w:t>
      </w: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9053"/>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501" w:hRule="atLeast"/>
          <w:jc w:val="center"/>
        </w:trPr>
        <w:tc>
          <w:tcPr>
            <w:tcW w:w="9053" w:type="dxa"/>
            <w:tcBorders>
              <w:left w:val="single" w:color="auto" w:sz="4" w:space="0"/>
            </w:tcBorders>
            <w:vAlign w:val="center"/>
          </w:tcPr>
          <w:p>
            <w:pPr>
              <w:adjustRightInd w:val="0"/>
              <w:snapToGrid w:val="0"/>
              <w:spacing w:line="400" w:lineRule="exact"/>
              <w:jc w:val="center"/>
              <w:rPr>
                <w:rFonts w:ascii="宋体" w:hAnsi="宋体"/>
                <w:szCs w:val="21"/>
              </w:rPr>
            </w:pPr>
            <w:r>
              <w:rPr>
                <w:rFonts w:hint="eastAsia" w:ascii="宋体" w:hAnsi="宋体"/>
                <w:szCs w:val="21"/>
              </w:rPr>
              <w:t>信誉要求</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748" w:hRule="atLeast"/>
          <w:jc w:val="center"/>
        </w:trPr>
        <w:tc>
          <w:tcPr>
            <w:tcW w:w="9053" w:type="dxa"/>
            <w:tcBorders>
              <w:top w:val="single" w:color="auto" w:sz="4" w:space="0"/>
              <w:left w:val="single" w:color="auto" w:sz="4" w:space="0"/>
            </w:tcBorders>
            <w:vAlign w:val="center"/>
          </w:tcPr>
          <w:p>
            <w:pPr>
              <w:spacing w:line="360" w:lineRule="auto"/>
              <w:ind w:firstLine="210" w:firstLineChars="100"/>
              <w:rPr>
                <w:rFonts w:hint="eastAsia" w:ascii="宋体" w:hAnsi="宋体"/>
                <w:szCs w:val="21"/>
              </w:rPr>
            </w:pPr>
            <w:r>
              <w:rPr>
                <w:rFonts w:hint="eastAsia" w:ascii="宋体" w:hAnsi="宋体"/>
              </w:rPr>
              <w:t>投标人在近</w:t>
            </w:r>
            <w:r>
              <w:rPr>
                <w:rFonts w:ascii="宋体" w:hAnsi="宋体"/>
              </w:rPr>
              <w:t>1</w:t>
            </w:r>
            <w:r>
              <w:rPr>
                <w:rFonts w:hint="eastAsia" w:ascii="宋体" w:hAnsi="宋体"/>
              </w:rPr>
              <w:t>年内（2023年6</w:t>
            </w:r>
            <w:r>
              <w:rPr>
                <w:rFonts w:ascii="宋体" w:hAnsi="宋体"/>
              </w:rPr>
              <w:t>月1日</w:t>
            </w:r>
            <w:r>
              <w:rPr>
                <w:rFonts w:hint="eastAsia" w:ascii="宋体" w:hAnsi="宋体"/>
              </w:rPr>
              <w:t>至开标日）不曾在高速公路工程沥青供货合同中违约而被驱逐或因投标人自身的原因而使高速公路工程沥青供货合同被解除。</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QESITV+SimSun">
    <w:altName w:val="Segoe Print"/>
    <w:panose1 w:val="00000000000000000000"/>
    <w:charset w:val="01"/>
    <w:family w:val="auto"/>
    <w:pitch w:val="default"/>
    <w:sig w:usb0="00000000" w:usb1="00000000" w:usb2="01010101" w:usb3="01010101" w:csb0="01010101" w:csb1="0101010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yZTNlMDU5OWVmMjRlOWVkNzFjNTA0OGZjMTMzODUifQ=="/>
  </w:docVars>
  <w:rsids>
    <w:rsidRoot w:val="5C255377"/>
    <w:rsid w:val="5C2553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目录4 Char"/>
    <w:autoRedefine/>
    <w:qFormat/>
    <w:uiPriority w:val="0"/>
    <w:rPr>
      <w:rFonts w:ascii="黑体" w:eastAsia="黑体"/>
      <w:kern w:val="2"/>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2024-06-28T02:41:00Z</dcterms:created>
  <dc:creator>赵凌云</dc:creator>
  <cp:lastModifiedBy>赵凌云</cp:lastModifiedBy>
  <dcterms:modified xsi:type="dcterms:W3CDTF">2024-06-28T02:41:55Z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BFEA2163B5A840AB8E107370336BBCEE_11</vt:lpwstr>
  </property>
</Properties>
</file>