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adjustRightInd w:val="0"/>
        <w:ind w:right="-20"/>
        <w:jc w:val="left"/>
        <w:rPr>
          <w:rFonts w:ascii="宋体" w:hAnsi="宋体" w:cs="微软雅黑"/>
          <w:b/>
          <w:sz w:val="28"/>
          <w:szCs w:val="28"/>
        </w:rPr>
      </w:pPr>
      <w:r>
        <w:rPr>
          <w:rFonts w:hint="eastAsia" w:ascii="宋体" w:hAnsi="宋体" w:cs="微软雅黑"/>
          <w:b/>
          <w:sz w:val="28"/>
          <w:szCs w:val="28"/>
        </w:rPr>
        <w:t>附件2：评标办法前附表</w:t>
      </w:r>
    </w:p>
    <w:p>
      <w:pPr>
        <w:snapToGrid w:val="0"/>
        <w:spacing w:line="360" w:lineRule="auto"/>
        <w:ind w:firstLine="480"/>
        <w:jc w:val="center"/>
        <w:textAlignment w:val="baseline"/>
        <w:rPr>
          <w:rFonts w:hint="eastAsia" w:ascii="宋体" w:hAnsi="宋体" w:cs="微软雅黑"/>
          <w:b/>
          <w:sz w:val="28"/>
          <w:szCs w:val="28"/>
        </w:rPr>
      </w:pPr>
      <w:bookmarkStart w:id="0" w:name="_Toc134792892"/>
      <w:bookmarkStart w:id="1" w:name="_Toc134890522"/>
      <w:bookmarkStart w:id="2" w:name="_Toc450319202"/>
      <w:bookmarkStart w:id="3" w:name="_Toc134890444"/>
      <w:bookmarkStart w:id="4" w:name="_Toc531949857"/>
      <w:bookmarkStart w:id="5" w:name="_Toc502992691"/>
      <w:bookmarkStart w:id="6" w:name="_Toc509660966"/>
      <w:bookmarkStart w:id="7" w:name="_Toc134792409"/>
      <w:bookmarkStart w:id="8" w:name="_Toc134792341"/>
      <w:bookmarkStart w:id="9" w:name="_Toc459307890"/>
      <w:bookmarkStart w:id="10" w:name="_Toc509659998"/>
      <w:r>
        <w:rPr>
          <w:rFonts w:hint="eastAsia" w:ascii="宋体" w:hAnsi="宋体"/>
          <w:b/>
          <w:bCs/>
          <w:sz w:val="24"/>
        </w:rPr>
        <w:t>评标办法（综合评估法）</w:t>
      </w:r>
      <w:bookmarkEnd w:id="0"/>
      <w:bookmarkEnd w:id="1"/>
      <w:bookmarkEnd w:id="2"/>
      <w:bookmarkEnd w:id="3"/>
      <w:bookmarkEnd w:id="4"/>
      <w:bookmarkEnd w:id="5"/>
      <w:bookmarkEnd w:id="6"/>
      <w:bookmarkEnd w:id="7"/>
      <w:bookmarkEnd w:id="8"/>
      <w:bookmarkEnd w:id="9"/>
      <w:bookmarkEnd w:id="10"/>
    </w:p>
    <w:p>
      <w:pPr>
        <w:autoSpaceDE w:val="0"/>
        <w:autoSpaceDN w:val="0"/>
        <w:adjustRightInd w:val="0"/>
        <w:snapToGrid w:val="0"/>
        <w:spacing w:line="288" w:lineRule="auto"/>
        <w:rPr>
          <w:rFonts w:hint="eastAsia" w:ascii="宋体" w:hAnsi="宋体"/>
          <w:b/>
          <w:bCs/>
          <w:kern w:val="0"/>
          <w:szCs w:val="21"/>
        </w:rPr>
      </w:pPr>
      <w:r>
        <w:rPr>
          <w:rFonts w:hint="eastAsia" w:ascii="宋体" w:hAnsi="宋体"/>
          <w:b/>
          <w:bCs/>
          <w:kern w:val="0"/>
          <w:szCs w:val="21"/>
        </w:rPr>
        <w:t>评标办法前附表</w:t>
      </w:r>
    </w:p>
    <w:tbl>
      <w:tblPr>
        <w:tblStyle w:val="5"/>
        <w:tblW w:w="0" w:type="auto"/>
        <w:jc w:val="center"/>
        <w:tblLayout w:type="fixed"/>
        <w:tblCellMar>
          <w:top w:w="0" w:type="dxa"/>
          <w:left w:w="0" w:type="dxa"/>
          <w:bottom w:w="0" w:type="dxa"/>
          <w:right w:w="0" w:type="dxa"/>
        </w:tblCellMar>
      </w:tblPr>
      <w:tblGrid>
        <w:gridCol w:w="961"/>
        <w:gridCol w:w="1090"/>
        <w:gridCol w:w="7132"/>
      </w:tblGrid>
      <w:tr>
        <w:tblPrEx>
          <w:tblCellMar>
            <w:top w:w="0" w:type="dxa"/>
            <w:left w:w="0" w:type="dxa"/>
            <w:bottom w:w="0" w:type="dxa"/>
            <w:right w:w="0" w:type="dxa"/>
          </w:tblCellMar>
        </w:tblPrEx>
        <w:trPr>
          <w:trHeight w:val="20" w:hRule="atLeast"/>
          <w:tblHeader/>
          <w:jc w:val="center"/>
        </w:trPr>
        <w:tc>
          <w:tcPr>
            <w:tcW w:w="961" w:type="dxa"/>
            <w:tcBorders>
              <w:top w:val="single" w:color="000000" w:sz="4" w:space="0"/>
              <w:left w:val="single" w:color="000000" w:sz="4" w:space="0"/>
              <w:bottom w:val="single" w:color="000000" w:sz="4" w:space="0"/>
              <w:right w:val="single" w:color="auto" w:sz="4" w:space="0"/>
            </w:tcBorders>
            <w:tcMar>
              <w:top w:w="57" w:type="dxa"/>
              <w:left w:w="57" w:type="dxa"/>
              <w:bottom w:w="57" w:type="dxa"/>
              <w:right w:w="57" w:type="dxa"/>
            </w:tcMar>
            <w:vAlign w:val="center"/>
          </w:tcPr>
          <w:p>
            <w:pPr>
              <w:autoSpaceDE w:val="0"/>
              <w:autoSpaceDN w:val="0"/>
              <w:adjustRightInd w:val="0"/>
              <w:snapToGrid w:val="0"/>
              <w:jc w:val="center"/>
              <w:rPr>
                <w:rFonts w:hint="eastAsia" w:ascii="黑体" w:hAnsi="黑体" w:eastAsia="黑体" w:cs="黑体"/>
                <w:kern w:val="0"/>
                <w:szCs w:val="21"/>
              </w:rPr>
            </w:pPr>
            <w:r>
              <w:rPr>
                <w:rFonts w:hint="eastAsia" w:ascii="黑体" w:hAnsi="黑体" w:eastAsia="黑体" w:cs="黑体"/>
                <w:kern w:val="0"/>
                <w:szCs w:val="21"/>
              </w:rPr>
              <w:t>条款号</w:t>
            </w:r>
          </w:p>
        </w:tc>
        <w:tc>
          <w:tcPr>
            <w:tcW w:w="1090" w:type="dxa"/>
            <w:tcBorders>
              <w:top w:val="single" w:color="000000" w:sz="4" w:space="0"/>
              <w:left w:val="single" w:color="auto"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napToGrid w:val="0"/>
              <w:jc w:val="center"/>
              <w:rPr>
                <w:rFonts w:hint="eastAsia" w:ascii="黑体" w:hAnsi="黑体" w:eastAsia="黑体" w:cs="黑体"/>
                <w:kern w:val="0"/>
                <w:szCs w:val="21"/>
              </w:rPr>
            </w:pPr>
            <w:r>
              <w:rPr>
                <w:rFonts w:hint="eastAsia" w:ascii="黑体" w:hAnsi="黑体" w:eastAsia="黑体" w:cs="黑体"/>
                <w:kern w:val="0"/>
                <w:szCs w:val="21"/>
              </w:rPr>
              <w:t>条款名称</w:t>
            </w:r>
          </w:p>
        </w:tc>
        <w:tc>
          <w:tcPr>
            <w:tcW w:w="713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napToGrid w:val="0"/>
              <w:jc w:val="center"/>
              <w:rPr>
                <w:rFonts w:hint="eastAsia" w:ascii="黑体" w:hAnsi="黑体" w:eastAsia="黑体" w:cs="黑体"/>
                <w:kern w:val="0"/>
                <w:szCs w:val="21"/>
              </w:rPr>
            </w:pPr>
            <w:r>
              <w:rPr>
                <w:rFonts w:hint="eastAsia" w:ascii="黑体" w:hAnsi="黑体" w:eastAsia="黑体" w:cs="黑体"/>
                <w:kern w:val="0"/>
                <w:szCs w:val="21"/>
              </w:rPr>
              <w:t>评审因素评与审标准</w:t>
            </w:r>
          </w:p>
        </w:tc>
      </w:tr>
      <w:tr>
        <w:tblPrEx>
          <w:tblCellMar>
            <w:top w:w="0" w:type="dxa"/>
            <w:left w:w="0" w:type="dxa"/>
            <w:bottom w:w="0" w:type="dxa"/>
            <w:right w:w="0" w:type="dxa"/>
          </w:tblCellMar>
        </w:tblPrEx>
        <w:trPr>
          <w:trHeight w:val="20" w:hRule="atLeast"/>
          <w:jc w:val="center"/>
        </w:trPr>
        <w:tc>
          <w:tcPr>
            <w:tcW w:w="961" w:type="dxa"/>
            <w:tcBorders>
              <w:top w:val="single" w:color="000000" w:sz="4" w:space="0"/>
              <w:left w:val="single" w:color="000000" w:sz="4" w:space="0"/>
              <w:bottom w:val="single" w:color="000000" w:sz="4" w:space="0"/>
              <w:right w:val="single" w:color="auto" w:sz="4" w:space="0"/>
            </w:tcBorders>
            <w:tcMar>
              <w:top w:w="57" w:type="dxa"/>
              <w:left w:w="57" w:type="dxa"/>
              <w:bottom w:w="57" w:type="dxa"/>
              <w:right w:w="57" w:type="dxa"/>
            </w:tcMar>
            <w:vAlign w:val="center"/>
          </w:tcPr>
          <w:p>
            <w:pPr>
              <w:autoSpaceDE w:val="0"/>
              <w:autoSpaceDN w:val="0"/>
              <w:adjustRightInd w:val="0"/>
              <w:snapToGrid w:val="0"/>
              <w:jc w:val="center"/>
              <w:rPr>
                <w:rFonts w:ascii="宋体" w:hAnsi="宋体"/>
                <w:kern w:val="0"/>
                <w:szCs w:val="21"/>
              </w:rPr>
            </w:pPr>
            <w:r>
              <w:rPr>
                <w:rFonts w:ascii="宋体" w:hAnsi="宋体"/>
                <w:kern w:val="0"/>
                <w:szCs w:val="21"/>
              </w:rPr>
              <w:t>1</w:t>
            </w:r>
          </w:p>
        </w:tc>
        <w:tc>
          <w:tcPr>
            <w:tcW w:w="1090" w:type="dxa"/>
            <w:tcBorders>
              <w:top w:val="single" w:color="000000" w:sz="4" w:space="0"/>
              <w:left w:val="single" w:color="auto"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napToGrid w:val="0"/>
              <w:jc w:val="center"/>
              <w:rPr>
                <w:rFonts w:ascii="宋体" w:hAnsi="宋体"/>
                <w:kern w:val="0"/>
                <w:szCs w:val="21"/>
              </w:rPr>
            </w:pPr>
            <w:r>
              <w:rPr>
                <w:rFonts w:hint="eastAsia" w:ascii="宋体" w:hAnsi="宋体" w:cs="微软雅黑"/>
                <w:kern w:val="0"/>
                <w:szCs w:val="21"/>
              </w:rPr>
              <w:t>评标</w:t>
            </w:r>
            <w:r>
              <w:rPr>
                <w:rFonts w:hint="eastAsia" w:ascii="宋体" w:hAnsi="宋体" w:cs="微软雅黑"/>
                <w:spacing w:val="-2"/>
                <w:kern w:val="0"/>
                <w:szCs w:val="21"/>
              </w:rPr>
              <w:t>方</w:t>
            </w:r>
            <w:r>
              <w:rPr>
                <w:rFonts w:hint="eastAsia" w:ascii="宋体" w:hAnsi="宋体" w:cs="微软雅黑"/>
                <w:kern w:val="0"/>
                <w:szCs w:val="21"/>
              </w:rPr>
              <w:t>法</w:t>
            </w:r>
          </w:p>
        </w:tc>
        <w:tc>
          <w:tcPr>
            <w:tcW w:w="713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napToGrid w:val="0"/>
              <w:ind w:firstLine="420" w:firstLineChars="200"/>
              <w:rPr>
                <w:rFonts w:hint="eastAsia" w:ascii="宋体" w:hAnsi="宋体"/>
                <w:kern w:val="0"/>
                <w:szCs w:val="21"/>
              </w:rPr>
            </w:pPr>
            <w:r>
              <w:rPr>
                <w:rFonts w:hint="eastAsia" w:ascii="宋体" w:hAnsi="宋体"/>
                <w:kern w:val="0"/>
                <w:szCs w:val="21"/>
              </w:rPr>
              <w:t>本次评标采用综合评估法</w:t>
            </w:r>
          </w:p>
          <w:p>
            <w:pPr>
              <w:autoSpaceDE w:val="0"/>
              <w:autoSpaceDN w:val="0"/>
              <w:adjustRightInd w:val="0"/>
              <w:snapToGrid w:val="0"/>
              <w:ind w:firstLine="420" w:firstLineChars="200"/>
              <w:rPr>
                <w:rFonts w:ascii="宋体" w:hAnsi="宋体"/>
                <w:kern w:val="0"/>
                <w:szCs w:val="21"/>
              </w:rPr>
            </w:pPr>
            <w:r>
              <w:rPr>
                <w:rFonts w:hint="eastAsia" w:ascii="宋体" w:hAnsi="宋体"/>
                <w:kern w:val="0"/>
                <w:szCs w:val="21"/>
              </w:rPr>
              <w:t>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pPr>
              <w:autoSpaceDE w:val="0"/>
              <w:autoSpaceDN w:val="0"/>
              <w:adjustRightInd w:val="0"/>
              <w:snapToGrid w:val="0"/>
              <w:ind w:firstLine="420" w:firstLineChars="200"/>
              <w:rPr>
                <w:rFonts w:ascii="宋体" w:hAnsi="宋体"/>
                <w:kern w:val="0"/>
                <w:szCs w:val="21"/>
              </w:rPr>
            </w:pPr>
            <w:r>
              <w:rPr>
                <w:rFonts w:hint="eastAsia" w:ascii="宋体" w:hAnsi="宋体"/>
                <w:kern w:val="0"/>
                <w:szCs w:val="21"/>
              </w:rPr>
              <w:t>（1）评标价低的投标人优先；</w:t>
            </w:r>
          </w:p>
          <w:p>
            <w:pPr>
              <w:autoSpaceDE w:val="0"/>
              <w:autoSpaceDN w:val="0"/>
              <w:adjustRightInd w:val="0"/>
              <w:snapToGrid w:val="0"/>
              <w:ind w:firstLine="420" w:firstLineChars="200"/>
              <w:rPr>
                <w:rFonts w:ascii="宋体" w:hAnsi="宋体"/>
                <w:kern w:val="0"/>
                <w:szCs w:val="21"/>
              </w:rPr>
            </w:pPr>
            <w:r>
              <w:rPr>
                <w:rFonts w:hint="eastAsia" w:ascii="宋体" w:hAnsi="宋体"/>
                <w:kern w:val="0"/>
                <w:szCs w:val="21"/>
              </w:rPr>
              <w:t>（2）技术部分评分高的优先；</w:t>
            </w:r>
          </w:p>
          <w:p>
            <w:pPr>
              <w:autoSpaceDE w:val="0"/>
              <w:autoSpaceDN w:val="0"/>
              <w:adjustRightInd w:val="0"/>
              <w:snapToGrid w:val="0"/>
              <w:ind w:firstLine="420" w:firstLineChars="200"/>
              <w:rPr>
                <w:rFonts w:hint="eastAsia" w:ascii="宋体" w:hAnsi="宋体"/>
                <w:kern w:val="0"/>
                <w:szCs w:val="21"/>
              </w:rPr>
            </w:pPr>
            <w:r>
              <w:rPr>
                <w:rFonts w:hint="eastAsia" w:ascii="宋体" w:hAnsi="宋体"/>
                <w:kern w:val="0"/>
                <w:szCs w:val="21"/>
              </w:rPr>
              <w:t>（3）投标人满足资格审查条件(业绩最低条件)要求的业绩合同总金额较多的优先。</w:t>
            </w:r>
          </w:p>
        </w:tc>
      </w:tr>
      <w:tr>
        <w:tblPrEx>
          <w:tblCellMar>
            <w:top w:w="0" w:type="dxa"/>
            <w:left w:w="0" w:type="dxa"/>
            <w:bottom w:w="0" w:type="dxa"/>
            <w:right w:w="0" w:type="dxa"/>
          </w:tblCellMar>
        </w:tblPrEx>
        <w:trPr>
          <w:trHeight w:val="20" w:hRule="atLeast"/>
          <w:jc w:val="center"/>
        </w:trPr>
        <w:tc>
          <w:tcPr>
            <w:tcW w:w="961"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napToGrid w:val="0"/>
              <w:jc w:val="center"/>
              <w:rPr>
                <w:rFonts w:ascii="宋体" w:hAnsi="宋体"/>
                <w:kern w:val="0"/>
                <w:szCs w:val="21"/>
              </w:rPr>
            </w:pPr>
            <w:r>
              <w:rPr>
                <w:rFonts w:ascii="宋体" w:hAnsi="宋体"/>
                <w:kern w:val="0"/>
                <w:szCs w:val="21"/>
              </w:rPr>
              <w:t>2.1.1</w:t>
            </w:r>
          </w:p>
          <w:p>
            <w:pPr>
              <w:autoSpaceDE w:val="0"/>
              <w:autoSpaceDN w:val="0"/>
              <w:adjustRightInd w:val="0"/>
              <w:snapToGrid w:val="0"/>
              <w:jc w:val="center"/>
              <w:rPr>
                <w:rFonts w:ascii="宋体" w:hAnsi="宋体"/>
                <w:kern w:val="0"/>
                <w:szCs w:val="21"/>
              </w:rPr>
            </w:pPr>
            <w:r>
              <w:rPr>
                <w:rFonts w:hint="eastAsia" w:ascii="宋体" w:hAnsi="宋体"/>
                <w:kern w:val="0"/>
                <w:szCs w:val="21"/>
              </w:rPr>
              <w:t>2</w:t>
            </w:r>
            <w:r>
              <w:rPr>
                <w:rFonts w:ascii="宋体" w:hAnsi="宋体"/>
                <w:kern w:val="0"/>
                <w:szCs w:val="21"/>
              </w:rPr>
              <w:t>.1.3</w:t>
            </w:r>
          </w:p>
        </w:tc>
        <w:tc>
          <w:tcPr>
            <w:tcW w:w="109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napToGrid w:val="0"/>
              <w:jc w:val="center"/>
              <w:rPr>
                <w:rFonts w:hint="eastAsia" w:ascii="宋体" w:hAnsi="宋体" w:cs="微软雅黑"/>
                <w:kern w:val="0"/>
                <w:szCs w:val="21"/>
              </w:rPr>
            </w:pPr>
            <w:r>
              <w:rPr>
                <w:rFonts w:hint="eastAsia" w:ascii="宋体" w:hAnsi="宋体" w:cs="微软雅黑"/>
                <w:kern w:val="0"/>
                <w:szCs w:val="21"/>
              </w:rPr>
              <w:t>形式</w:t>
            </w:r>
          </w:p>
          <w:p>
            <w:pPr>
              <w:autoSpaceDE w:val="0"/>
              <w:autoSpaceDN w:val="0"/>
              <w:adjustRightInd w:val="0"/>
              <w:snapToGrid w:val="0"/>
              <w:jc w:val="center"/>
              <w:rPr>
                <w:rFonts w:hint="eastAsia" w:ascii="宋体" w:hAnsi="宋体" w:cs="微软雅黑"/>
                <w:kern w:val="0"/>
                <w:szCs w:val="21"/>
              </w:rPr>
            </w:pPr>
            <w:r>
              <w:rPr>
                <w:rFonts w:hint="eastAsia" w:ascii="宋体" w:hAnsi="宋体" w:cs="微软雅黑"/>
                <w:spacing w:val="-2"/>
                <w:kern w:val="0"/>
                <w:szCs w:val="21"/>
              </w:rPr>
              <w:t>评</w:t>
            </w:r>
            <w:r>
              <w:rPr>
                <w:rFonts w:hint="eastAsia" w:ascii="宋体" w:hAnsi="宋体" w:cs="微软雅黑"/>
                <w:kern w:val="0"/>
                <w:szCs w:val="21"/>
              </w:rPr>
              <w:t>审与</w:t>
            </w:r>
          </w:p>
          <w:p>
            <w:pPr>
              <w:autoSpaceDE w:val="0"/>
              <w:autoSpaceDN w:val="0"/>
              <w:adjustRightInd w:val="0"/>
              <w:snapToGrid w:val="0"/>
              <w:jc w:val="center"/>
              <w:rPr>
                <w:rFonts w:hint="eastAsia" w:ascii="宋体" w:hAnsi="宋体" w:cs="微软雅黑"/>
                <w:kern w:val="0"/>
                <w:szCs w:val="21"/>
              </w:rPr>
            </w:pPr>
            <w:r>
              <w:rPr>
                <w:rFonts w:hint="eastAsia" w:ascii="宋体" w:hAnsi="宋体" w:cs="微软雅黑"/>
                <w:kern w:val="0"/>
                <w:szCs w:val="21"/>
              </w:rPr>
              <w:t>响应性</w:t>
            </w:r>
          </w:p>
          <w:p>
            <w:pPr>
              <w:autoSpaceDE w:val="0"/>
              <w:autoSpaceDN w:val="0"/>
              <w:adjustRightInd w:val="0"/>
              <w:snapToGrid w:val="0"/>
              <w:jc w:val="center"/>
              <w:rPr>
                <w:rFonts w:ascii="宋体" w:hAnsi="宋体"/>
                <w:kern w:val="0"/>
                <w:szCs w:val="21"/>
              </w:rPr>
            </w:pPr>
            <w:r>
              <w:rPr>
                <w:rFonts w:hint="eastAsia" w:ascii="宋体" w:hAnsi="宋体" w:cs="微软雅黑"/>
                <w:kern w:val="0"/>
                <w:szCs w:val="21"/>
              </w:rPr>
              <w:t>评审标准</w:t>
            </w:r>
          </w:p>
        </w:tc>
        <w:tc>
          <w:tcPr>
            <w:tcW w:w="713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rPr>
                <w:rFonts w:hint="eastAsia" w:ascii="宋体" w:hAnsi="宋体" w:cs="宋体"/>
                <w:szCs w:val="21"/>
              </w:rPr>
            </w:pPr>
            <w:r>
              <w:rPr>
                <w:rFonts w:hint="eastAsia" w:ascii="宋体" w:hAnsi="宋体" w:cs="宋体"/>
                <w:szCs w:val="21"/>
              </w:rPr>
              <w:t>第一个信封（商务文件）评审标准：</w:t>
            </w:r>
          </w:p>
          <w:p>
            <w:pPr>
              <w:adjustRightInd w:val="0"/>
              <w:snapToGrid w:val="0"/>
              <w:ind w:firstLine="420" w:firstLineChars="200"/>
              <w:rPr>
                <w:rFonts w:hint="eastAsia" w:ascii="宋体" w:hAnsi="宋体" w:cs="宋体"/>
                <w:szCs w:val="21"/>
              </w:rPr>
            </w:pPr>
            <w:r>
              <w:rPr>
                <w:rFonts w:hint="eastAsia" w:ascii="宋体" w:hAnsi="宋体" w:cs="宋体"/>
                <w:szCs w:val="21"/>
              </w:rPr>
              <w:t>（1）投标文件按照招标文件规定的格式、内容填写，字迹清晰可辨；</w:t>
            </w:r>
          </w:p>
          <w:p>
            <w:pPr>
              <w:adjustRightInd w:val="0"/>
              <w:snapToGrid w:val="0"/>
              <w:ind w:firstLine="420" w:firstLineChars="200"/>
              <w:rPr>
                <w:rFonts w:hint="eastAsia" w:ascii="宋体" w:hAnsi="宋体" w:cs="宋体"/>
                <w:szCs w:val="21"/>
              </w:rPr>
            </w:pPr>
            <w:r>
              <w:rPr>
                <w:rFonts w:hint="eastAsia" w:ascii="宋体" w:hAnsi="宋体" w:cs="宋体"/>
                <w:szCs w:val="21"/>
              </w:rPr>
              <w:t>a.投标函按招标文件规定填报了项目名称、供货期、质量标准等内容；</w:t>
            </w:r>
          </w:p>
          <w:p>
            <w:pPr>
              <w:adjustRightInd w:val="0"/>
              <w:snapToGrid w:val="0"/>
              <w:ind w:firstLine="420" w:firstLineChars="200"/>
              <w:rPr>
                <w:rFonts w:hint="eastAsia" w:ascii="宋体" w:hAnsi="宋体" w:cs="宋体"/>
                <w:szCs w:val="21"/>
              </w:rPr>
            </w:pPr>
            <w:r>
              <w:rPr>
                <w:rFonts w:hint="eastAsia" w:ascii="宋体" w:hAnsi="宋体" w:cs="宋体"/>
                <w:szCs w:val="21"/>
              </w:rPr>
              <w:t>b.投标文件组成齐全完整，内容均按规定填写。</w:t>
            </w:r>
          </w:p>
          <w:p>
            <w:pPr>
              <w:adjustRightInd w:val="0"/>
              <w:snapToGrid w:val="0"/>
              <w:ind w:firstLine="420" w:firstLineChars="200"/>
              <w:rPr>
                <w:rFonts w:hint="eastAsia" w:ascii="宋体" w:hAnsi="宋体" w:cs="宋体"/>
                <w:szCs w:val="21"/>
              </w:rPr>
            </w:pPr>
            <w:r>
              <w:rPr>
                <w:rFonts w:hint="eastAsia" w:ascii="宋体" w:hAnsi="宋体" w:cs="宋体"/>
                <w:szCs w:val="21"/>
              </w:rPr>
              <w:t>（2）投标文件上法定代表人或其授权代理人签字、投标人的单位章齐全，符合招标文件规定；</w:t>
            </w:r>
          </w:p>
          <w:p>
            <w:pPr>
              <w:adjustRightInd w:val="0"/>
              <w:snapToGrid w:val="0"/>
              <w:ind w:firstLine="420" w:firstLineChars="200"/>
              <w:rPr>
                <w:rFonts w:ascii="宋体" w:hAnsi="宋体" w:cs="宋体"/>
                <w:szCs w:val="21"/>
              </w:rPr>
            </w:pPr>
            <w:r>
              <w:rPr>
                <w:rFonts w:hint="eastAsia" w:ascii="宋体" w:hAnsi="宋体" w:cs="宋体"/>
                <w:szCs w:val="21"/>
              </w:rPr>
              <w:t>（3）投标人按第二章投标人须知前附表3.4.1的要求递交投标保证金。</w:t>
            </w:r>
          </w:p>
          <w:p>
            <w:pPr>
              <w:adjustRightInd w:val="0"/>
              <w:snapToGrid w:val="0"/>
              <w:ind w:firstLine="420" w:firstLineChars="200"/>
              <w:rPr>
                <w:rFonts w:hint="eastAsia" w:ascii="宋体" w:hAnsi="宋体" w:cs="宋体"/>
                <w:szCs w:val="21"/>
              </w:rPr>
            </w:pPr>
            <w:r>
              <w:rPr>
                <w:rFonts w:hint="eastAsia" w:ascii="宋体" w:hAnsi="宋体" w:cs="宋体"/>
                <w:szCs w:val="21"/>
              </w:rPr>
              <w:t>（4）投标人法定代表人授权委托代理人签署投标文件的，提供了授权委托书，符合招标文件规定。</w:t>
            </w:r>
          </w:p>
          <w:p>
            <w:pPr>
              <w:adjustRightInd w:val="0"/>
              <w:snapToGrid w:val="0"/>
              <w:ind w:firstLine="420" w:firstLineChars="200"/>
              <w:rPr>
                <w:rFonts w:hint="eastAsia" w:ascii="宋体" w:hAnsi="宋体" w:cs="宋体"/>
                <w:szCs w:val="21"/>
              </w:rPr>
            </w:pPr>
            <w:r>
              <w:rPr>
                <w:rFonts w:hint="eastAsia" w:ascii="宋体" w:hAnsi="宋体" w:cs="宋体"/>
                <w:szCs w:val="21"/>
              </w:rPr>
              <w:t>（5）投标人法定代表人若亲自签署投标文件的，提供了法定代表人身份证明，符合招标文件规定。</w:t>
            </w:r>
          </w:p>
          <w:p>
            <w:pPr>
              <w:adjustRightInd w:val="0"/>
              <w:snapToGrid w:val="0"/>
              <w:ind w:firstLine="420" w:firstLineChars="200"/>
              <w:rPr>
                <w:rFonts w:hint="eastAsia" w:ascii="宋体" w:hAnsi="宋体" w:cs="宋体"/>
                <w:szCs w:val="21"/>
              </w:rPr>
            </w:pPr>
            <w:r>
              <w:rPr>
                <w:rFonts w:hint="eastAsia" w:ascii="宋体" w:hAnsi="宋体" w:cs="宋体"/>
                <w:szCs w:val="21"/>
              </w:rPr>
              <w:t>（6）同一投标人未提交两个以上不同的投标文件。</w:t>
            </w:r>
          </w:p>
          <w:p>
            <w:pPr>
              <w:adjustRightInd w:val="0"/>
              <w:snapToGrid w:val="0"/>
              <w:ind w:firstLine="420" w:firstLineChars="200"/>
              <w:rPr>
                <w:rFonts w:hint="eastAsia" w:ascii="宋体" w:hAnsi="宋体" w:cs="宋体"/>
                <w:szCs w:val="21"/>
              </w:rPr>
            </w:pPr>
            <w:r>
              <w:rPr>
                <w:rFonts w:hint="eastAsia" w:ascii="宋体" w:hAnsi="宋体" w:cs="宋体"/>
                <w:szCs w:val="21"/>
              </w:rPr>
              <w:t>（7）投标文件中未出现有关投标报价的内容。</w:t>
            </w:r>
          </w:p>
          <w:p>
            <w:pPr>
              <w:adjustRightInd w:val="0"/>
              <w:snapToGrid w:val="0"/>
              <w:ind w:firstLine="420" w:firstLineChars="200"/>
              <w:rPr>
                <w:rFonts w:hint="eastAsia" w:ascii="宋体" w:hAnsi="宋体" w:cs="宋体"/>
                <w:szCs w:val="21"/>
              </w:rPr>
            </w:pPr>
            <w:r>
              <w:rPr>
                <w:rFonts w:hint="eastAsia" w:ascii="宋体" w:hAnsi="宋体" w:cs="宋体"/>
                <w:szCs w:val="21"/>
              </w:rPr>
              <w:t>（8）投标文件载明的招标项目完成期限未超过招标文件规定的时限。</w:t>
            </w:r>
          </w:p>
          <w:p>
            <w:pPr>
              <w:adjustRightInd w:val="0"/>
              <w:snapToGrid w:val="0"/>
              <w:ind w:firstLine="420" w:firstLineChars="200"/>
              <w:rPr>
                <w:rFonts w:ascii="宋体" w:hAnsi="宋体" w:cs="宋体"/>
                <w:szCs w:val="21"/>
              </w:rPr>
            </w:pPr>
            <w:r>
              <w:rPr>
                <w:rFonts w:hint="eastAsia" w:ascii="宋体" w:hAnsi="宋体" w:cs="宋体"/>
                <w:szCs w:val="21"/>
              </w:rPr>
              <w:t>（9）投标文件对招标文件的实质性要求和条件作出响应。</w:t>
            </w:r>
          </w:p>
          <w:p>
            <w:pPr>
              <w:adjustRightInd w:val="0"/>
              <w:snapToGrid w:val="0"/>
              <w:ind w:firstLine="420" w:firstLineChars="200"/>
              <w:rPr>
                <w:rFonts w:ascii="宋体" w:hAnsi="宋体" w:cs="宋体"/>
                <w:szCs w:val="21"/>
              </w:rPr>
            </w:pPr>
            <w:r>
              <w:rPr>
                <w:rFonts w:hint="eastAsia" w:ascii="宋体" w:hAnsi="宋体" w:cs="宋体"/>
                <w:szCs w:val="21"/>
              </w:rPr>
              <w:t>（10）投标文件中投标材料的主要技术指标满足招标文件的要求。</w:t>
            </w:r>
          </w:p>
          <w:p>
            <w:pPr>
              <w:adjustRightInd w:val="0"/>
              <w:snapToGrid w:val="0"/>
              <w:ind w:firstLine="420" w:firstLineChars="200"/>
              <w:rPr>
                <w:rFonts w:ascii="宋体" w:hAnsi="宋体" w:cs="宋体"/>
                <w:szCs w:val="21"/>
              </w:rPr>
            </w:pPr>
            <w:r>
              <w:rPr>
                <w:rFonts w:hint="eastAsia" w:ascii="宋体" w:hAnsi="宋体" w:cs="宋体"/>
                <w:szCs w:val="21"/>
              </w:rPr>
              <w:t>（11）技术支持资料符合第二章“投标人须知”第1.</w:t>
            </w:r>
            <w:r>
              <w:rPr>
                <w:rFonts w:ascii="宋体" w:hAnsi="宋体" w:cs="宋体"/>
                <w:szCs w:val="21"/>
              </w:rPr>
              <w:t>11</w:t>
            </w:r>
            <w:r>
              <w:rPr>
                <w:rFonts w:hint="eastAsia" w:ascii="宋体" w:hAnsi="宋体" w:cs="宋体"/>
                <w:szCs w:val="21"/>
              </w:rPr>
              <w:t>.</w:t>
            </w:r>
            <w:r>
              <w:rPr>
                <w:rFonts w:ascii="宋体" w:hAnsi="宋体" w:cs="宋体"/>
                <w:szCs w:val="21"/>
              </w:rPr>
              <w:t>3</w:t>
            </w:r>
            <w:r>
              <w:rPr>
                <w:rFonts w:hint="eastAsia" w:ascii="宋体" w:hAnsi="宋体" w:cs="宋体"/>
                <w:szCs w:val="21"/>
              </w:rPr>
              <w:t>项规定。</w:t>
            </w:r>
          </w:p>
          <w:p>
            <w:pPr>
              <w:pStyle w:val="2"/>
              <w:ind w:firstLine="315"/>
              <w:rPr>
                <w:rFonts w:hint="eastAsia" w:cs="宋体"/>
                <w:kern w:val="2"/>
                <w:lang w:eastAsia="zh-CN"/>
              </w:rPr>
            </w:pPr>
            <w:r>
              <w:rPr>
                <w:rFonts w:hint="eastAsia" w:cs="宋体"/>
                <w:kern w:val="2"/>
                <w:lang w:eastAsia="zh-CN"/>
              </w:rPr>
              <w:t>（12）同一品牌同一型号的制造商和其委托代理商未同时参与本项目投标的；</w:t>
            </w:r>
          </w:p>
          <w:p>
            <w:pPr>
              <w:pStyle w:val="3"/>
              <w:ind w:firstLine="420"/>
              <w:rPr>
                <w:rFonts w:hint="eastAsia" w:cs="宋体"/>
                <w:sz w:val="21"/>
                <w:szCs w:val="21"/>
              </w:rPr>
            </w:pPr>
            <w:r>
              <w:rPr>
                <w:rFonts w:hint="eastAsia" w:cs="宋体"/>
                <w:sz w:val="21"/>
                <w:szCs w:val="21"/>
              </w:rPr>
              <w:t>（13）投标人未以联合体形式参与投标；</w:t>
            </w:r>
          </w:p>
          <w:p>
            <w:pPr>
              <w:pStyle w:val="3"/>
              <w:ind w:firstLine="420"/>
              <w:rPr>
                <w:rFonts w:hint="eastAsia" w:cs="宋体"/>
                <w:sz w:val="21"/>
                <w:szCs w:val="21"/>
              </w:rPr>
            </w:pPr>
            <w:r>
              <w:rPr>
                <w:rFonts w:hint="eastAsia" w:cs="宋体"/>
                <w:sz w:val="21"/>
                <w:szCs w:val="21"/>
              </w:rPr>
              <w:t>（14）投标人未对项目进行分包；</w:t>
            </w:r>
          </w:p>
          <w:p>
            <w:pPr>
              <w:adjustRightInd w:val="0"/>
              <w:snapToGrid w:val="0"/>
              <w:ind w:firstLine="420" w:firstLineChars="200"/>
              <w:rPr>
                <w:rFonts w:hint="eastAsia" w:ascii="宋体" w:hAnsi="宋体" w:cs="宋体"/>
                <w:szCs w:val="21"/>
              </w:rPr>
            </w:pPr>
            <w:r>
              <w:rPr>
                <w:rFonts w:hint="eastAsia" w:ascii="宋体" w:hAnsi="宋体" w:cs="宋体"/>
                <w:szCs w:val="21"/>
              </w:rPr>
              <w:t>（15）权利义务符合招标文件规定：</w:t>
            </w:r>
          </w:p>
          <w:p>
            <w:pPr>
              <w:adjustRightInd w:val="0"/>
              <w:snapToGrid w:val="0"/>
              <w:ind w:firstLine="283" w:firstLineChars="135"/>
              <w:rPr>
                <w:rFonts w:hint="eastAsia" w:ascii="宋体" w:hAnsi="宋体" w:cs="宋体"/>
                <w:szCs w:val="21"/>
              </w:rPr>
            </w:pPr>
            <w:r>
              <w:rPr>
                <w:rFonts w:hint="eastAsia" w:ascii="宋体" w:hAnsi="宋体" w:cs="宋体"/>
                <w:szCs w:val="21"/>
              </w:rPr>
              <w:t>a.投标人应接受招标文件规定的风险划分原则，未提出新的风险划分办法；</w:t>
            </w:r>
          </w:p>
          <w:p>
            <w:pPr>
              <w:adjustRightInd w:val="0"/>
              <w:snapToGrid w:val="0"/>
              <w:ind w:firstLine="283" w:firstLineChars="135"/>
              <w:rPr>
                <w:rFonts w:hint="eastAsia" w:ascii="宋体" w:hAnsi="宋体" w:cs="宋体"/>
                <w:szCs w:val="21"/>
              </w:rPr>
            </w:pPr>
            <w:r>
              <w:rPr>
                <w:rFonts w:hint="eastAsia" w:ascii="宋体" w:hAnsi="宋体" w:cs="宋体"/>
                <w:szCs w:val="21"/>
              </w:rPr>
              <w:t>b.投标人未增加买方的责任范围，或减少投标人义务；</w:t>
            </w:r>
          </w:p>
          <w:p>
            <w:pPr>
              <w:adjustRightInd w:val="0"/>
              <w:snapToGrid w:val="0"/>
              <w:ind w:firstLine="283" w:firstLineChars="135"/>
              <w:rPr>
                <w:rFonts w:hint="eastAsia" w:ascii="宋体" w:hAnsi="宋体" w:cs="宋体"/>
                <w:szCs w:val="21"/>
              </w:rPr>
            </w:pPr>
            <w:r>
              <w:rPr>
                <w:rFonts w:hint="eastAsia" w:ascii="宋体" w:hAnsi="宋体" w:cs="宋体"/>
                <w:szCs w:val="21"/>
              </w:rPr>
              <w:t>c.投标人未提出不同的支付办法；</w:t>
            </w:r>
          </w:p>
          <w:p>
            <w:pPr>
              <w:adjustRightInd w:val="0"/>
              <w:snapToGrid w:val="0"/>
              <w:ind w:firstLine="283" w:firstLineChars="135"/>
              <w:rPr>
                <w:rFonts w:hint="eastAsia" w:ascii="宋体" w:hAnsi="宋体" w:cs="宋体"/>
                <w:szCs w:val="21"/>
              </w:rPr>
            </w:pPr>
            <w:r>
              <w:rPr>
                <w:rFonts w:hint="eastAsia" w:ascii="宋体" w:hAnsi="宋体" w:cs="宋体"/>
                <w:szCs w:val="21"/>
              </w:rPr>
              <w:t>d.投标人对合同纠纷、事故处理办法未提出异议；</w:t>
            </w:r>
          </w:p>
          <w:p>
            <w:pPr>
              <w:adjustRightInd w:val="0"/>
              <w:snapToGrid w:val="0"/>
              <w:ind w:firstLine="283" w:firstLineChars="135"/>
              <w:rPr>
                <w:rFonts w:hint="eastAsia" w:ascii="宋体" w:hAnsi="宋体" w:cs="宋体"/>
                <w:szCs w:val="21"/>
              </w:rPr>
            </w:pPr>
            <w:r>
              <w:rPr>
                <w:rFonts w:hint="eastAsia" w:ascii="宋体" w:hAnsi="宋体" w:cs="宋体"/>
                <w:szCs w:val="21"/>
              </w:rPr>
              <w:t>e.投标人在投标活动中无欺诈行为；</w:t>
            </w:r>
          </w:p>
          <w:p>
            <w:pPr>
              <w:adjustRightInd w:val="0"/>
              <w:snapToGrid w:val="0"/>
              <w:ind w:firstLine="283" w:firstLineChars="135"/>
              <w:rPr>
                <w:rFonts w:ascii="宋体" w:hAnsi="宋体" w:cs="宋体"/>
                <w:szCs w:val="21"/>
              </w:rPr>
            </w:pPr>
            <w:r>
              <w:rPr>
                <w:rFonts w:hint="eastAsia" w:ascii="宋体" w:hAnsi="宋体" w:cs="宋体"/>
                <w:szCs w:val="21"/>
              </w:rPr>
              <w:t>f.投标人未对合同条款有重要保留。</w:t>
            </w:r>
          </w:p>
          <w:p>
            <w:pPr>
              <w:adjustRightInd w:val="0"/>
              <w:snapToGrid w:val="0"/>
              <w:jc w:val="left"/>
              <w:rPr>
                <w:rFonts w:hint="eastAsia" w:ascii="宋体" w:hAnsi="宋体" w:cs="宋体"/>
                <w:szCs w:val="21"/>
              </w:rPr>
            </w:pPr>
            <w:r>
              <w:rPr>
                <w:rFonts w:hint="eastAsia" w:ascii="宋体" w:hAnsi="宋体" w:cs="宋体"/>
                <w:szCs w:val="21"/>
              </w:rPr>
              <w:t>第一个信封（技术文件）评审标准:</w:t>
            </w:r>
          </w:p>
          <w:p>
            <w:pPr>
              <w:pStyle w:val="2"/>
              <w:adjustRightInd w:val="0"/>
              <w:snapToGrid w:val="0"/>
              <w:ind w:left="0" w:firstLine="420" w:firstLineChars="200"/>
              <w:jc w:val="both"/>
              <w:rPr>
                <w:rFonts w:hint="eastAsia" w:cs="宋体"/>
                <w:kern w:val="2"/>
                <w:lang w:eastAsia="zh-CN"/>
              </w:rPr>
            </w:pPr>
            <w:r>
              <w:rPr>
                <w:rFonts w:cs="宋体"/>
                <w:kern w:val="2"/>
                <w:lang w:eastAsia="zh-CN"/>
              </w:rPr>
              <w:t>（1）</w:t>
            </w:r>
            <w:r>
              <w:rPr>
                <w:rFonts w:hint="eastAsia" w:cs="宋体"/>
                <w:kern w:val="2"/>
                <w:lang w:eastAsia="zh-CN"/>
              </w:rPr>
              <w:t>技术文件（暗标）的编制符合招标文件第二章“投标人须知”第10.2款的规定。</w:t>
            </w:r>
          </w:p>
          <w:p>
            <w:pPr>
              <w:adjustRightInd w:val="0"/>
              <w:snapToGrid w:val="0"/>
              <w:rPr>
                <w:rFonts w:hint="eastAsia" w:ascii="宋体" w:hAnsi="宋体" w:cs="宋体"/>
                <w:szCs w:val="21"/>
              </w:rPr>
            </w:pPr>
            <w:r>
              <w:rPr>
                <w:rFonts w:hint="eastAsia" w:ascii="宋体" w:hAnsi="宋体" w:cs="宋体"/>
                <w:szCs w:val="21"/>
              </w:rPr>
              <w:t>第二个信封（报价文件）评审标准：</w:t>
            </w:r>
          </w:p>
          <w:p>
            <w:pPr>
              <w:adjustRightInd w:val="0"/>
              <w:snapToGrid w:val="0"/>
              <w:ind w:firstLine="420" w:firstLineChars="200"/>
              <w:rPr>
                <w:rFonts w:hint="eastAsia" w:ascii="宋体" w:hAnsi="宋体" w:cs="宋体"/>
                <w:szCs w:val="21"/>
              </w:rPr>
            </w:pPr>
            <w:r>
              <w:rPr>
                <w:rFonts w:hint="eastAsia" w:ascii="宋体" w:hAnsi="宋体" w:cs="宋体"/>
                <w:szCs w:val="21"/>
              </w:rPr>
              <w:t>（1）投标文件按照招标文件规定的格式、内容填写，字迹清晰可辨，内容齐全完整：</w:t>
            </w:r>
          </w:p>
          <w:p>
            <w:pPr>
              <w:adjustRightInd w:val="0"/>
              <w:snapToGrid w:val="0"/>
              <w:ind w:firstLine="420" w:firstLineChars="200"/>
              <w:rPr>
                <w:rFonts w:hint="eastAsia" w:ascii="宋体" w:hAnsi="宋体" w:cs="宋体"/>
                <w:szCs w:val="21"/>
              </w:rPr>
            </w:pPr>
            <w:r>
              <w:rPr>
                <w:rFonts w:hint="eastAsia" w:ascii="宋体" w:hAnsi="宋体" w:cs="宋体"/>
                <w:szCs w:val="21"/>
              </w:rPr>
              <w:t>a.投标函按招标文件规定填报了项目名称、投标价（包括大写金额和小写金额）；</w:t>
            </w:r>
          </w:p>
          <w:p>
            <w:pPr>
              <w:adjustRightInd w:val="0"/>
              <w:snapToGrid w:val="0"/>
              <w:ind w:firstLine="420" w:firstLineChars="200"/>
              <w:rPr>
                <w:rFonts w:hint="eastAsia" w:ascii="宋体" w:hAnsi="宋体" w:cs="宋体"/>
                <w:szCs w:val="21"/>
              </w:rPr>
            </w:pPr>
            <w:r>
              <w:rPr>
                <w:rFonts w:hint="eastAsia" w:ascii="宋体" w:hAnsi="宋体" w:cs="宋体"/>
                <w:szCs w:val="21"/>
              </w:rPr>
              <w:t>b.投标文件组成齐全完整，内容均按规定填写。</w:t>
            </w:r>
          </w:p>
          <w:p>
            <w:pPr>
              <w:adjustRightInd w:val="0"/>
              <w:snapToGrid w:val="0"/>
              <w:ind w:firstLine="420" w:firstLineChars="200"/>
              <w:rPr>
                <w:rFonts w:hint="eastAsia" w:ascii="宋体" w:hAnsi="宋体" w:cs="宋体"/>
                <w:szCs w:val="21"/>
              </w:rPr>
            </w:pPr>
            <w:r>
              <w:rPr>
                <w:rFonts w:hint="eastAsia" w:ascii="宋体" w:hAnsi="宋体" w:cs="宋体"/>
                <w:szCs w:val="21"/>
              </w:rPr>
              <w:t>（2）投标文件上法定代表人或其委托代理人签字、投标人的单位章齐全，符合招标文件规定；</w:t>
            </w:r>
          </w:p>
          <w:p>
            <w:pPr>
              <w:adjustRightInd w:val="0"/>
              <w:snapToGrid w:val="0"/>
              <w:ind w:firstLine="420" w:firstLineChars="200"/>
              <w:rPr>
                <w:rFonts w:hint="eastAsia" w:ascii="宋体" w:hAnsi="宋体" w:cs="宋体"/>
                <w:szCs w:val="21"/>
              </w:rPr>
            </w:pPr>
            <w:r>
              <w:rPr>
                <w:rFonts w:hint="eastAsia" w:ascii="宋体" w:hAnsi="宋体" w:cs="宋体"/>
                <w:szCs w:val="21"/>
              </w:rPr>
              <w:t>（3）投标总价及分项材料报价未超过招标文件设定的最高投标限价。</w:t>
            </w:r>
          </w:p>
          <w:p>
            <w:pPr>
              <w:adjustRightInd w:val="0"/>
              <w:snapToGrid w:val="0"/>
              <w:ind w:firstLine="420" w:firstLineChars="200"/>
              <w:rPr>
                <w:rFonts w:hint="eastAsia" w:ascii="宋体" w:hAnsi="宋体" w:cs="宋体"/>
                <w:szCs w:val="21"/>
              </w:rPr>
            </w:pPr>
            <w:r>
              <w:rPr>
                <w:rFonts w:hint="eastAsia" w:ascii="宋体" w:hAnsi="宋体" w:cs="宋体"/>
                <w:szCs w:val="21"/>
              </w:rPr>
              <w:t>（4）投标报价的大写金额能够确定具体数值。</w:t>
            </w:r>
          </w:p>
          <w:p>
            <w:pPr>
              <w:adjustRightInd w:val="0"/>
              <w:snapToGrid w:val="0"/>
              <w:ind w:firstLine="420" w:firstLineChars="200"/>
              <w:rPr>
                <w:rFonts w:hint="eastAsia" w:ascii="宋体" w:hAnsi="宋体" w:cs="宋体"/>
                <w:szCs w:val="21"/>
              </w:rPr>
            </w:pPr>
            <w:r>
              <w:rPr>
                <w:rFonts w:hint="eastAsia" w:ascii="宋体" w:hAnsi="宋体" w:cs="宋体"/>
                <w:szCs w:val="21"/>
              </w:rPr>
              <w:t>（5）同一投标人未提交两个以上不同的投标报价。</w:t>
            </w:r>
          </w:p>
        </w:tc>
      </w:tr>
      <w:tr>
        <w:tblPrEx>
          <w:tblCellMar>
            <w:top w:w="0" w:type="dxa"/>
            <w:left w:w="0" w:type="dxa"/>
            <w:bottom w:w="0" w:type="dxa"/>
            <w:right w:w="0" w:type="dxa"/>
          </w:tblCellMar>
        </w:tblPrEx>
        <w:trPr>
          <w:trHeight w:val="20" w:hRule="atLeast"/>
          <w:jc w:val="center"/>
        </w:trPr>
        <w:tc>
          <w:tcPr>
            <w:tcW w:w="961"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napToGrid w:val="0"/>
              <w:jc w:val="center"/>
              <w:rPr>
                <w:rFonts w:ascii="宋体" w:hAnsi="宋体"/>
                <w:kern w:val="0"/>
                <w:szCs w:val="21"/>
              </w:rPr>
            </w:pPr>
            <w:r>
              <w:rPr>
                <w:rFonts w:ascii="宋体" w:hAnsi="宋体"/>
                <w:kern w:val="0"/>
                <w:szCs w:val="21"/>
              </w:rPr>
              <w:t>2.1.2</w:t>
            </w:r>
          </w:p>
        </w:tc>
        <w:tc>
          <w:tcPr>
            <w:tcW w:w="109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napToGrid w:val="0"/>
              <w:jc w:val="center"/>
              <w:rPr>
                <w:rFonts w:ascii="宋体" w:hAnsi="宋体"/>
                <w:kern w:val="0"/>
                <w:szCs w:val="21"/>
              </w:rPr>
            </w:pPr>
            <w:r>
              <w:rPr>
                <w:rFonts w:hint="eastAsia" w:ascii="宋体" w:hAnsi="宋体" w:cs="微软雅黑"/>
                <w:kern w:val="0"/>
                <w:szCs w:val="21"/>
              </w:rPr>
              <w:t>资格</w:t>
            </w:r>
            <w:r>
              <w:rPr>
                <w:rFonts w:hint="eastAsia" w:ascii="宋体" w:hAnsi="宋体" w:cs="微软雅黑"/>
                <w:spacing w:val="-2"/>
                <w:kern w:val="0"/>
                <w:szCs w:val="21"/>
              </w:rPr>
              <w:t>评</w:t>
            </w:r>
            <w:r>
              <w:rPr>
                <w:rFonts w:hint="eastAsia" w:ascii="宋体" w:hAnsi="宋体" w:cs="微软雅黑"/>
                <w:kern w:val="0"/>
                <w:szCs w:val="21"/>
              </w:rPr>
              <w:t>审</w:t>
            </w:r>
            <w:r>
              <w:rPr>
                <w:rFonts w:ascii="宋体" w:hAnsi="宋体" w:cs="微软雅黑"/>
                <w:kern w:val="0"/>
                <w:szCs w:val="21"/>
              </w:rPr>
              <w:t xml:space="preserve"> </w:t>
            </w:r>
            <w:r>
              <w:rPr>
                <w:rFonts w:hint="eastAsia" w:ascii="宋体" w:hAnsi="宋体" w:cs="微软雅黑"/>
                <w:kern w:val="0"/>
                <w:szCs w:val="21"/>
              </w:rPr>
              <w:t>标准</w:t>
            </w:r>
          </w:p>
        </w:tc>
        <w:tc>
          <w:tcPr>
            <w:tcW w:w="713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ind w:firstLine="420" w:firstLineChars="200"/>
              <w:rPr>
                <w:rFonts w:hint="eastAsia" w:ascii="宋体" w:hAnsi="宋体" w:cs="宋体"/>
                <w:szCs w:val="21"/>
              </w:rPr>
            </w:pPr>
            <w:r>
              <w:rPr>
                <w:rFonts w:hint="eastAsia" w:ascii="宋体" w:hAnsi="宋体" w:cs="宋体"/>
                <w:szCs w:val="21"/>
              </w:rPr>
              <w:t>（1）投标人具备有效的营业执照和基本账户开户许可证或基本存款账户信息；</w:t>
            </w:r>
          </w:p>
          <w:p>
            <w:pPr>
              <w:adjustRightInd w:val="0"/>
              <w:snapToGrid w:val="0"/>
              <w:ind w:firstLine="420" w:firstLineChars="200"/>
              <w:rPr>
                <w:rFonts w:hint="eastAsia" w:ascii="宋体" w:hAnsi="宋体" w:cs="宋体"/>
                <w:szCs w:val="21"/>
              </w:rPr>
            </w:pPr>
            <w:r>
              <w:rPr>
                <w:rFonts w:hint="eastAsia" w:ascii="宋体" w:hAnsi="宋体" w:cs="宋体"/>
                <w:szCs w:val="21"/>
              </w:rPr>
              <w:t>（2）投标人的资质等级符合招标文件规定；</w:t>
            </w:r>
          </w:p>
          <w:p>
            <w:pPr>
              <w:adjustRightInd w:val="0"/>
              <w:snapToGrid w:val="0"/>
              <w:ind w:firstLine="420" w:firstLineChars="200"/>
              <w:rPr>
                <w:rFonts w:ascii="宋体" w:hAnsi="宋体" w:cs="宋体"/>
                <w:szCs w:val="21"/>
              </w:rPr>
            </w:pPr>
            <w:r>
              <w:rPr>
                <w:rFonts w:hint="eastAsia" w:ascii="宋体" w:hAnsi="宋体" w:cs="宋体"/>
                <w:szCs w:val="21"/>
              </w:rPr>
              <w:t>（3）投标人的财务状况符合招标文件规定；</w:t>
            </w:r>
          </w:p>
          <w:p>
            <w:pPr>
              <w:adjustRightInd w:val="0"/>
              <w:snapToGrid w:val="0"/>
              <w:ind w:firstLine="420" w:firstLineChars="200"/>
              <w:rPr>
                <w:rFonts w:hint="eastAsia" w:ascii="宋体" w:hAnsi="宋体" w:cs="宋体"/>
                <w:szCs w:val="21"/>
              </w:rPr>
            </w:pPr>
            <w:r>
              <w:rPr>
                <w:rFonts w:hint="eastAsia" w:ascii="宋体" w:hAnsi="宋体" w:cs="宋体"/>
                <w:szCs w:val="21"/>
              </w:rPr>
              <w:t>（4）投标人的业绩符合招标文件规定；</w:t>
            </w:r>
          </w:p>
          <w:p>
            <w:pPr>
              <w:adjustRightInd w:val="0"/>
              <w:snapToGrid w:val="0"/>
              <w:ind w:firstLine="420" w:firstLineChars="200"/>
              <w:rPr>
                <w:rFonts w:hint="eastAsia" w:ascii="宋体" w:hAnsi="宋体" w:cs="宋体"/>
                <w:szCs w:val="21"/>
              </w:rPr>
            </w:pPr>
            <w:r>
              <w:rPr>
                <w:rFonts w:hint="eastAsia" w:ascii="宋体" w:hAnsi="宋体" w:cs="宋体"/>
                <w:szCs w:val="21"/>
              </w:rPr>
              <w:t>（5）投标人的信誉符合招标文件规定；</w:t>
            </w:r>
          </w:p>
          <w:p>
            <w:pPr>
              <w:adjustRightInd w:val="0"/>
              <w:snapToGrid w:val="0"/>
              <w:ind w:firstLine="420" w:firstLineChars="200"/>
              <w:rPr>
                <w:rFonts w:ascii="宋体" w:hAnsi="宋体" w:cs="宋体"/>
                <w:szCs w:val="21"/>
              </w:rPr>
            </w:pPr>
            <w:r>
              <w:rPr>
                <w:rFonts w:hint="eastAsia" w:ascii="宋体" w:hAnsi="宋体" w:cs="宋体"/>
                <w:szCs w:val="21"/>
              </w:rPr>
              <w:t>（6）投标人的其他条件符合招标文件规定；</w:t>
            </w:r>
          </w:p>
          <w:p>
            <w:pPr>
              <w:adjustRightInd w:val="0"/>
              <w:snapToGrid w:val="0"/>
              <w:ind w:firstLine="420" w:firstLineChars="200"/>
              <w:rPr>
                <w:rFonts w:ascii="宋体" w:hAnsi="宋体" w:cs="宋体"/>
                <w:szCs w:val="21"/>
              </w:rPr>
            </w:pPr>
            <w:r>
              <w:rPr>
                <w:rFonts w:hint="eastAsia" w:ascii="宋体" w:hAnsi="宋体" w:cs="宋体"/>
                <w:szCs w:val="21"/>
              </w:rPr>
              <w:t>（7）投标人不存在第二章“投标人须知”第1.4.3项规定的任何一种情形。</w:t>
            </w:r>
          </w:p>
        </w:tc>
      </w:tr>
      <w:tr>
        <w:tblPrEx>
          <w:tblCellMar>
            <w:top w:w="0" w:type="dxa"/>
            <w:left w:w="0" w:type="dxa"/>
            <w:bottom w:w="0" w:type="dxa"/>
            <w:right w:w="0" w:type="dxa"/>
          </w:tblCellMar>
        </w:tblPrEx>
        <w:trPr>
          <w:trHeight w:val="90" w:hRule="atLeast"/>
          <w:jc w:val="center"/>
        </w:trPr>
        <w:tc>
          <w:tcPr>
            <w:tcW w:w="961"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jc w:val="center"/>
              <w:rPr>
                <w:rFonts w:ascii="宋体" w:hAnsi="宋体" w:cs="微软雅黑"/>
              </w:rPr>
            </w:pPr>
            <w:r>
              <w:rPr>
                <w:rFonts w:hint="eastAsia" w:ascii="宋体" w:hAnsi="宋体" w:cs="微软雅黑"/>
              </w:rPr>
              <w:t>2.2.1</w:t>
            </w:r>
          </w:p>
        </w:tc>
        <w:tc>
          <w:tcPr>
            <w:tcW w:w="109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jc w:val="center"/>
              <w:rPr>
                <w:rFonts w:ascii="宋体" w:hAnsi="宋体"/>
                <w:szCs w:val="21"/>
              </w:rPr>
            </w:pPr>
            <w:r>
              <w:rPr>
                <w:rFonts w:hint="eastAsia" w:ascii="宋体" w:hAnsi="宋体"/>
                <w:szCs w:val="21"/>
              </w:rPr>
              <w:t>分值构成</w:t>
            </w:r>
          </w:p>
          <w:p>
            <w:pPr>
              <w:adjustRightInd w:val="0"/>
              <w:snapToGrid w:val="0"/>
              <w:jc w:val="center"/>
              <w:rPr>
                <w:rFonts w:ascii="宋体" w:hAnsi="宋体"/>
                <w:szCs w:val="21"/>
              </w:rPr>
            </w:pPr>
            <w:r>
              <w:rPr>
                <w:rFonts w:hint="eastAsia" w:ascii="宋体" w:hAnsi="宋体"/>
                <w:szCs w:val="21"/>
              </w:rPr>
              <w:t>（总分100分）</w:t>
            </w:r>
          </w:p>
        </w:tc>
        <w:tc>
          <w:tcPr>
            <w:tcW w:w="713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ind w:left="102"/>
              <w:rPr>
                <w:rFonts w:hint="eastAsia" w:ascii="宋体" w:hAnsi="宋体"/>
                <w:szCs w:val="21"/>
              </w:rPr>
            </w:pPr>
            <w:r>
              <w:rPr>
                <w:rFonts w:hint="eastAsia" w:ascii="宋体" w:hAnsi="宋体"/>
                <w:szCs w:val="21"/>
              </w:rPr>
              <w:t>第一个信封（商务及技术文件）评分分值构成：</w:t>
            </w:r>
          </w:p>
          <w:p>
            <w:pPr>
              <w:adjustRightInd w:val="0"/>
              <w:snapToGrid w:val="0"/>
              <w:ind w:left="102" w:firstLine="420" w:firstLineChars="200"/>
              <w:rPr>
                <w:rFonts w:ascii="宋体" w:hAnsi="宋体"/>
                <w:szCs w:val="21"/>
              </w:rPr>
            </w:pPr>
            <w:r>
              <w:rPr>
                <w:rFonts w:hint="eastAsia" w:ascii="宋体" w:hAnsi="宋体"/>
                <w:szCs w:val="21"/>
              </w:rPr>
              <w:t>商务部分：</w:t>
            </w:r>
            <w:r>
              <w:rPr>
                <w:rFonts w:hint="eastAsia" w:ascii="宋体" w:hAnsi="宋体"/>
                <w:szCs w:val="21"/>
                <w:u w:val="single"/>
              </w:rPr>
              <w:t>25</w:t>
            </w:r>
            <w:r>
              <w:rPr>
                <w:rFonts w:hint="eastAsia" w:ascii="宋体" w:hAnsi="宋体"/>
                <w:szCs w:val="21"/>
              </w:rPr>
              <w:t>分</w:t>
            </w:r>
          </w:p>
          <w:p>
            <w:pPr>
              <w:adjustRightInd w:val="0"/>
              <w:snapToGrid w:val="0"/>
              <w:ind w:left="102" w:firstLine="420" w:firstLineChars="200"/>
              <w:rPr>
                <w:rFonts w:ascii="宋体" w:hAnsi="宋体"/>
                <w:szCs w:val="21"/>
              </w:rPr>
            </w:pPr>
            <w:r>
              <w:rPr>
                <w:rFonts w:hint="eastAsia" w:ascii="宋体" w:hAnsi="宋体"/>
                <w:szCs w:val="21"/>
              </w:rPr>
              <w:t>技术部分：</w:t>
            </w:r>
            <w:r>
              <w:rPr>
                <w:rFonts w:hint="eastAsia" w:ascii="宋体" w:hAnsi="宋体"/>
                <w:szCs w:val="21"/>
                <w:u w:val="single"/>
              </w:rPr>
              <w:t>45</w:t>
            </w:r>
            <w:r>
              <w:rPr>
                <w:rFonts w:hint="eastAsia" w:ascii="宋体" w:hAnsi="宋体"/>
                <w:szCs w:val="21"/>
              </w:rPr>
              <w:t>分</w:t>
            </w:r>
          </w:p>
          <w:p>
            <w:pPr>
              <w:adjustRightInd w:val="0"/>
              <w:snapToGrid w:val="0"/>
              <w:ind w:left="102"/>
              <w:rPr>
                <w:rFonts w:ascii="宋体" w:hAnsi="宋体"/>
                <w:szCs w:val="21"/>
              </w:rPr>
            </w:pPr>
            <w:r>
              <w:rPr>
                <w:rFonts w:hint="eastAsia" w:ascii="宋体" w:hAnsi="宋体"/>
                <w:szCs w:val="21"/>
              </w:rPr>
              <w:t>第二个信封（报价文件）评分分值构成：</w:t>
            </w:r>
          </w:p>
          <w:p>
            <w:pPr>
              <w:adjustRightInd w:val="0"/>
              <w:snapToGrid w:val="0"/>
              <w:ind w:left="102" w:firstLine="420" w:firstLineChars="200"/>
              <w:rPr>
                <w:rFonts w:hint="eastAsia" w:ascii="宋体" w:hAnsi="宋体"/>
                <w:szCs w:val="21"/>
              </w:rPr>
            </w:pPr>
            <w:r>
              <w:rPr>
                <w:rFonts w:hint="eastAsia" w:ascii="宋体" w:hAnsi="宋体"/>
                <w:szCs w:val="21"/>
              </w:rPr>
              <w:t>投标报价：</w:t>
            </w:r>
            <w:r>
              <w:rPr>
                <w:rFonts w:hint="eastAsia" w:ascii="宋体" w:hAnsi="宋体"/>
                <w:szCs w:val="21"/>
                <w:u w:val="single"/>
              </w:rPr>
              <w:t>30</w:t>
            </w:r>
            <w:r>
              <w:rPr>
                <w:rFonts w:hint="eastAsia" w:ascii="宋体" w:hAnsi="宋体"/>
                <w:szCs w:val="21"/>
              </w:rPr>
              <w:t>分</w:t>
            </w:r>
          </w:p>
        </w:tc>
      </w:tr>
      <w:tr>
        <w:tblPrEx>
          <w:tblCellMar>
            <w:top w:w="0" w:type="dxa"/>
            <w:left w:w="0" w:type="dxa"/>
            <w:bottom w:w="0" w:type="dxa"/>
            <w:right w:w="0" w:type="dxa"/>
          </w:tblCellMar>
        </w:tblPrEx>
        <w:trPr>
          <w:trHeight w:val="20" w:hRule="atLeast"/>
          <w:jc w:val="center"/>
        </w:trPr>
        <w:tc>
          <w:tcPr>
            <w:tcW w:w="961"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ind w:left="34" w:leftChars="16" w:right="288"/>
              <w:jc w:val="center"/>
              <w:rPr>
                <w:rFonts w:ascii="宋体" w:hAnsi="宋体" w:cs="微软雅黑"/>
              </w:rPr>
            </w:pPr>
            <w:r>
              <w:rPr>
                <w:rFonts w:ascii="宋体" w:hAnsi="宋体" w:cs="微软雅黑"/>
              </w:rPr>
              <w:t>2.2.2</w:t>
            </w:r>
          </w:p>
        </w:tc>
        <w:tc>
          <w:tcPr>
            <w:tcW w:w="109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ind w:right="-20"/>
              <w:jc w:val="center"/>
              <w:rPr>
                <w:rFonts w:ascii="宋体" w:hAnsi="宋体" w:cs="微软雅黑"/>
              </w:rPr>
            </w:pPr>
            <w:r>
              <w:rPr>
                <w:rFonts w:hint="eastAsia" w:ascii="宋体" w:hAnsi="宋体" w:cs="微软雅黑"/>
              </w:rPr>
              <w:t>评标基准价计算方法</w:t>
            </w:r>
          </w:p>
        </w:tc>
        <w:tc>
          <w:tcPr>
            <w:tcW w:w="713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ind w:firstLine="420" w:firstLineChars="200"/>
              <w:rPr>
                <w:rFonts w:ascii="宋体" w:hAnsi="宋体"/>
                <w:szCs w:val="21"/>
              </w:rPr>
            </w:pPr>
            <w:r>
              <w:rPr>
                <w:rFonts w:hint="eastAsia" w:ascii="宋体" w:hAnsi="宋体"/>
                <w:szCs w:val="21"/>
              </w:rPr>
              <w:t>评标基准价的计算：</w:t>
            </w:r>
          </w:p>
          <w:p>
            <w:pPr>
              <w:adjustRightInd w:val="0"/>
              <w:snapToGrid w:val="0"/>
              <w:ind w:firstLine="420" w:firstLineChars="200"/>
              <w:rPr>
                <w:rFonts w:ascii="宋体" w:hAnsi="宋体"/>
                <w:szCs w:val="21"/>
              </w:rPr>
            </w:pPr>
            <w:r>
              <w:rPr>
                <w:rFonts w:hint="eastAsia" w:ascii="宋体" w:hAnsi="宋体"/>
                <w:szCs w:val="21"/>
              </w:rPr>
              <w:t>（1）评标价的确定：评标价＝投标函文字报价</w:t>
            </w:r>
          </w:p>
          <w:p>
            <w:pPr>
              <w:adjustRightInd w:val="0"/>
              <w:snapToGrid w:val="0"/>
              <w:ind w:firstLine="404" w:firstLineChars="200"/>
              <w:jc w:val="left"/>
              <w:rPr>
                <w:rFonts w:ascii="宋体" w:hAnsi="宋体"/>
                <w:spacing w:val="-4"/>
                <w:szCs w:val="21"/>
              </w:rPr>
            </w:pPr>
            <w:r>
              <w:rPr>
                <w:rFonts w:hint="eastAsia" w:ascii="宋体" w:hAnsi="宋体"/>
                <w:spacing w:val="-4"/>
                <w:szCs w:val="21"/>
              </w:rPr>
              <w:t>（2）评标价平均值的计算：</w:t>
            </w:r>
          </w:p>
          <w:p>
            <w:pPr>
              <w:adjustRightInd w:val="0"/>
              <w:snapToGrid w:val="0"/>
              <w:ind w:firstLine="357" w:firstLineChars="177"/>
              <w:rPr>
                <w:rFonts w:hint="eastAsia" w:ascii="宋体" w:hAnsi="宋体"/>
                <w:spacing w:val="-4"/>
                <w:szCs w:val="21"/>
              </w:rPr>
            </w:pPr>
            <w:r>
              <w:rPr>
                <w:rFonts w:hint="eastAsia" w:ascii="宋体" w:hAnsi="宋体"/>
                <w:spacing w:val="-4"/>
                <w:szCs w:val="21"/>
              </w:rPr>
              <w:t>除按第二章“投标人须知”第5.2.4项规定开标现场被宣布为不进入评标基准价计算的投标报价之外的投标人评标价，所有投标人的评标价去掉规定个数的最高值和最低值后的算术平均值：</w:t>
            </w:r>
          </w:p>
          <w:p>
            <w:pPr>
              <w:adjustRightInd w:val="0"/>
              <w:snapToGrid w:val="0"/>
              <w:ind w:firstLine="357" w:firstLineChars="177"/>
              <w:rPr>
                <w:rFonts w:ascii="宋体" w:hAnsi="宋体"/>
                <w:spacing w:val="-4"/>
                <w:szCs w:val="21"/>
              </w:rPr>
            </w:pPr>
            <w:r>
              <w:rPr>
                <w:rFonts w:hint="eastAsia" w:ascii="宋体" w:hAnsi="宋体"/>
                <w:spacing w:val="-4"/>
                <w:szCs w:val="21"/>
              </w:rPr>
              <w:t>a、如果参与评标价平均值计算的投标人数量≤5家时，计算评标价平均值时不去最高值和最低值。</w:t>
            </w:r>
          </w:p>
          <w:p>
            <w:pPr>
              <w:adjustRightInd w:val="0"/>
              <w:snapToGrid w:val="0"/>
              <w:ind w:firstLine="357" w:firstLineChars="177"/>
              <w:rPr>
                <w:rFonts w:ascii="宋体" w:hAnsi="宋体"/>
                <w:spacing w:val="-4"/>
                <w:szCs w:val="21"/>
              </w:rPr>
            </w:pPr>
            <w:r>
              <w:rPr>
                <w:rFonts w:hint="eastAsia" w:ascii="宋体" w:hAnsi="宋体"/>
                <w:spacing w:val="-4"/>
                <w:szCs w:val="21"/>
              </w:rPr>
              <w:t>b、如果5家＜参与评标价平均值计算的投标人数量≤10家时，计算评标价平均值时去掉1个最高值和1个最低值。</w:t>
            </w:r>
          </w:p>
          <w:p>
            <w:pPr>
              <w:adjustRightInd w:val="0"/>
              <w:snapToGrid w:val="0"/>
              <w:ind w:firstLine="357" w:firstLineChars="177"/>
              <w:rPr>
                <w:rFonts w:ascii="宋体" w:hAnsi="宋体"/>
                <w:spacing w:val="-4"/>
                <w:szCs w:val="21"/>
              </w:rPr>
            </w:pPr>
            <w:r>
              <w:rPr>
                <w:rFonts w:hint="eastAsia" w:ascii="宋体" w:hAnsi="宋体"/>
                <w:spacing w:val="-4"/>
                <w:szCs w:val="21"/>
              </w:rPr>
              <w:t>c、如果10家＜参与评标价平均值计算的投标人数量≤15家时，计算评标价平均值时去掉2个最高值和2个最低值。</w:t>
            </w:r>
          </w:p>
          <w:p>
            <w:pPr>
              <w:adjustRightInd w:val="0"/>
              <w:snapToGrid w:val="0"/>
              <w:ind w:firstLine="357" w:firstLineChars="177"/>
              <w:rPr>
                <w:rFonts w:ascii="宋体" w:hAnsi="宋体"/>
                <w:spacing w:val="-4"/>
                <w:szCs w:val="21"/>
              </w:rPr>
            </w:pPr>
            <w:r>
              <w:rPr>
                <w:rFonts w:hint="eastAsia" w:ascii="宋体" w:hAnsi="宋体"/>
                <w:spacing w:val="-4"/>
                <w:szCs w:val="21"/>
              </w:rPr>
              <w:t>d、如果15家＜参与评标价平均值计算的投标人数量≤20家时，计算评标价平均值时去掉3个最高值和3个最低值。</w:t>
            </w:r>
          </w:p>
          <w:p>
            <w:pPr>
              <w:adjustRightInd w:val="0"/>
              <w:snapToGrid w:val="0"/>
              <w:ind w:firstLine="357" w:firstLineChars="177"/>
              <w:rPr>
                <w:rFonts w:ascii="宋体" w:hAnsi="宋体"/>
                <w:spacing w:val="-4"/>
                <w:szCs w:val="21"/>
              </w:rPr>
            </w:pPr>
            <w:r>
              <w:rPr>
                <w:rFonts w:hint="eastAsia" w:ascii="宋体" w:hAnsi="宋体"/>
                <w:spacing w:val="-4"/>
                <w:szCs w:val="21"/>
              </w:rPr>
              <w:t>e、如果参与评标价平均值计算的投标人数量＞20家时，计算评标价平均值时去掉4个最高值和4个最低值。</w:t>
            </w:r>
          </w:p>
          <w:p>
            <w:pPr>
              <w:adjustRightInd w:val="0"/>
              <w:snapToGrid w:val="0"/>
              <w:ind w:firstLine="404" w:firstLineChars="200"/>
              <w:jc w:val="left"/>
              <w:rPr>
                <w:rFonts w:ascii="宋体" w:hAnsi="宋体"/>
                <w:spacing w:val="-4"/>
                <w:szCs w:val="21"/>
              </w:rPr>
            </w:pPr>
            <w:r>
              <w:rPr>
                <w:rFonts w:hint="eastAsia" w:ascii="宋体" w:hAnsi="宋体"/>
                <w:spacing w:val="-4"/>
                <w:szCs w:val="21"/>
              </w:rPr>
              <w:t>（3）评标基准价的确定：</w:t>
            </w:r>
          </w:p>
          <w:p>
            <w:pPr>
              <w:adjustRightInd w:val="0"/>
              <w:snapToGrid w:val="0"/>
              <w:ind w:firstLine="404" w:firstLineChars="200"/>
              <w:rPr>
                <w:rFonts w:hint="eastAsia" w:ascii="宋体" w:hAnsi="宋体"/>
                <w:spacing w:val="-4"/>
                <w:szCs w:val="21"/>
              </w:rPr>
            </w:pPr>
            <w:r>
              <w:rPr>
                <w:rFonts w:hint="eastAsia" w:ascii="宋体" w:hAnsi="宋体"/>
                <w:spacing w:val="-4"/>
                <w:szCs w:val="21"/>
              </w:rPr>
              <w:t>将评标价平均值直接作为评标基准价（评标基准价保留两位小数，第三位四舍五入）。</w:t>
            </w:r>
          </w:p>
          <w:p>
            <w:pPr>
              <w:adjustRightInd w:val="0"/>
              <w:snapToGrid w:val="0"/>
              <w:ind w:firstLine="404" w:firstLineChars="200"/>
              <w:jc w:val="left"/>
            </w:pPr>
            <w:r>
              <w:rPr>
                <w:rFonts w:hint="eastAsia" w:ascii="宋体" w:hAnsi="宋体"/>
                <w:spacing w:val="-4"/>
                <w:szCs w:val="21"/>
              </w:rPr>
              <w:t>在评标过程中，评标委员会应对招标人计算的评标基准价进行复核，存在计算错误的应予以修正并在评标报告中作出说明。除此之外，评标基准价在整个评标期间保持不变，不随任何因素发生变化。当所有投标价都高于招标人最高投标限价时，招标人将重新招标。</w:t>
            </w:r>
          </w:p>
        </w:tc>
      </w:tr>
      <w:tr>
        <w:tblPrEx>
          <w:tblCellMar>
            <w:top w:w="0" w:type="dxa"/>
            <w:left w:w="0" w:type="dxa"/>
            <w:bottom w:w="0" w:type="dxa"/>
            <w:right w:w="0" w:type="dxa"/>
          </w:tblCellMar>
        </w:tblPrEx>
        <w:trPr>
          <w:trHeight w:val="20" w:hRule="atLeast"/>
          <w:jc w:val="center"/>
        </w:trPr>
        <w:tc>
          <w:tcPr>
            <w:tcW w:w="961"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jc w:val="center"/>
              <w:rPr>
                <w:rFonts w:ascii="宋体" w:hAnsi="宋体" w:cs="微软雅黑"/>
              </w:rPr>
            </w:pPr>
            <w:r>
              <w:rPr>
                <w:rFonts w:hint="eastAsia" w:ascii="宋体" w:hAnsi="宋体" w:cs="微软雅黑"/>
              </w:rPr>
              <w:t>2.2.3</w:t>
            </w:r>
          </w:p>
        </w:tc>
        <w:tc>
          <w:tcPr>
            <w:tcW w:w="1090" w:type="dxa"/>
            <w:tcBorders>
              <w:top w:val="single" w:color="000000" w:sz="4" w:space="0"/>
              <w:left w:val="single" w:color="000000" w:sz="4" w:space="0"/>
              <w:bottom w:val="single" w:color="000000" w:sz="4" w:space="0"/>
              <w:right w:val="single" w:color="auto" w:sz="4" w:space="0"/>
            </w:tcBorders>
            <w:tcMar>
              <w:top w:w="57" w:type="dxa"/>
              <w:left w:w="57" w:type="dxa"/>
              <w:bottom w:w="57" w:type="dxa"/>
              <w:right w:w="57" w:type="dxa"/>
            </w:tcMar>
            <w:vAlign w:val="center"/>
          </w:tcPr>
          <w:p>
            <w:pPr>
              <w:adjustRightInd w:val="0"/>
              <w:snapToGrid w:val="0"/>
              <w:ind w:right="-20"/>
              <w:jc w:val="center"/>
              <w:rPr>
                <w:rFonts w:ascii="宋体" w:hAnsi="宋体" w:cs="微软雅黑"/>
              </w:rPr>
            </w:pPr>
            <w:r>
              <w:rPr>
                <w:rFonts w:hint="eastAsia" w:ascii="宋体" w:hAnsi="宋体" w:cs="微软雅黑"/>
              </w:rPr>
              <w:t>投标报价的偏差率计算公式</w:t>
            </w:r>
          </w:p>
        </w:tc>
        <w:tc>
          <w:tcPr>
            <w:tcW w:w="7132" w:type="dxa"/>
            <w:tcBorders>
              <w:top w:val="single" w:color="000000" w:sz="4" w:space="0"/>
              <w:left w:val="single" w:color="auto"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rPr>
                <w:rFonts w:ascii="宋体" w:hAnsi="宋体" w:cs="微软雅黑"/>
              </w:rPr>
            </w:pPr>
            <w:r>
              <w:rPr>
                <w:rFonts w:hint="eastAsia" w:ascii="宋体" w:hAnsi="宋体" w:cs="微软雅黑"/>
              </w:rPr>
              <w:t>偏差率=100%×（投标人评标价-评标基准价）/评标基准价</w:t>
            </w:r>
          </w:p>
        </w:tc>
      </w:tr>
      <w:tr>
        <w:tblPrEx>
          <w:tblCellMar>
            <w:top w:w="0" w:type="dxa"/>
            <w:left w:w="0" w:type="dxa"/>
            <w:bottom w:w="0" w:type="dxa"/>
            <w:right w:w="0" w:type="dxa"/>
          </w:tblCellMar>
        </w:tblPrEx>
        <w:trPr>
          <w:trHeight w:val="20" w:hRule="atLeast"/>
          <w:jc w:val="center"/>
        </w:trPr>
        <w:tc>
          <w:tcPr>
            <w:tcW w:w="961"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jc w:val="center"/>
              <w:rPr>
                <w:rFonts w:hint="eastAsia" w:ascii="宋体" w:hAnsi="宋体" w:cs="微软雅黑"/>
              </w:rPr>
            </w:pPr>
            <w:r>
              <w:rPr>
                <w:rFonts w:hint="eastAsia" w:ascii="宋体" w:hAnsi="宋体" w:cs="宋体"/>
                <w:kern w:val="0"/>
                <w:szCs w:val="21"/>
              </w:rPr>
              <w:t>3.6.1</w:t>
            </w:r>
          </w:p>
        </w:tc>
        <w:tc>
          <w:tcPr>
            <w:tcW w:w="1090" w:type="dxa"/>
            <w:tcBorders>
              <w:top w:val="single" w:color="000000" w:sz="4" w:space="0"/>
              <w:left w:val="single" w:color="000000" w:sz="4" w:space="0"/>
              <w:bottom w:val="single" w:color="000000" w:sz="4" w:space="0"/>
              <w:right w:val="single" w:color="auto" w:sz="4" w:space="0"/>
            </w:tcBorders>
            <w:tcMar>
              <w:top w:w="57" w:type="dxa"/>
              <w:left w:w="57" w:type="dxa"/>
              <w:bottom w:w="57" w:type="dxa"/>
              <w:right w:w="57" w:type="dxa"/>
            </w:tcMar>
            <w:vAlign w:val="center"/>
          </w:tcPr>
          <w:p>
            <w:pPr>
              <w:adjustRightInd w:val="0"/>
              <w:snapToGrid w:val="0"/>
              <w:ind w:right="-20"/>
              <w:jc w:val="center"/>
              <w:rPr>
                <w:rFonts w:hint="eastAsia" w:ascii="宋体" w:hAnsi="宋体" w:cs="微软雅黑"/>
              </w:rPr>
            </w:pPr>
            <w:r>
              <w:rPr>
                <w:rFonts w:hint="eastAsia" w:ascii="宋体" w:hAnsi="宋体" w:cs="宋体"/>
                <w:kern w:val="0"/>
                <w:szCs w:val="21"/>
              </w:rPr>
              <w:t>投标文件相关信息核查</w:t>
            </w:r>
          </w:p>
        </w:tc>
        <w:tc>
          <w:tcPr>
            <w:tcW w:w="7132" w:type="dxa"/>
            <w:tcBorders>
              <w:top w:val="single" w:color="000000" w:sz="4" w:space="0"/>
              <w:left w:val="single" w:color="auto"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本款修改为：</w:t>
            </w:r>
          </w:p>
          <w:p>
            <w:pPr>
              <w:adjustRightInd w:val="0"/>
              <w:snapToGrid w:val="0"/>
              <w:ind w:firstLine="327" w:firstLineChars="156"/>
              <w:jc w:val="left"/>
              <w:rPr>
                <w:rFonts w:hint="eastAsia" w:ascii="宋体" w:hAnsi="宋体" w:cs="宋体"/>
                <w:szCs w:val="21"/>
              </w:rPr>
            </w:pPr>
            <w:r>
              <w:rPr>
                <w:rFonts w:hint="eastAsia" w:ascii="宋体" w:hAnsi="宋体" w:cs="宋体"/>
                <w:szCs w:val="21"/>
              </w:rPr>
              <w:t>在评标过程中，评标委员会应对以下信息进行查询：</w:t>
            </w:r>
          </w:p>
          <w:p>
            <w:pPr>
              <w:adjustRightInd w:val="0"/>
              <w:snapToGrid w:val="0"/>
              <w:ind w:firstLine="327" w:firstLineChars="156"/>
              <w:jc w:val="left"/>
              <w:rPr>
                <w:rFonts w:hint="eastAsia" w:ascii="宋体" w:hAnsi="宋体" w:cs="宋体"/>
                <w:szCs w:val="21"/>
              </w:rPr>
            </w:pPr>
            <w:r>
              <w:rPr>
                <w:rFonts w:hint="eastAsia" w:ascii="宋体" w:hAnsi="宋体" w:cs="宋体"/>
                <w:szCs w:val="21"/>
              </w:rPr>
              <w:t>（1）投标人信用情况网页截图内容与在“国家企业信用信息公示系统”中严重违法失信名单（黑名单）信息（不含分公司）或在“信用中国”网站“中失信被执行人名单、经营异常名录、税收违法黑名单、政府采购严重违法失信名单（均不含分公司）的复核结果一致。</w:t>
            </w:r>
          </w:p>
          <w:p>
            <w:pPr>
              <w:adjustRightInd w:val="0"/>
              <w:snapToGrid w:val="0"/>
              <w:ind w:firstLine="327" w:firstLineChars="156"/>
              <w:jc w:val="left"/>
              <w:rPr>
                <w:rFonts w:hint="eastAsia" w:ascii="宋体" w:hAnsi="宋体" w:cs="宋体"/>
                <w:szCs w:val="21"/>
              </w:rPr>
            </w:pPr>
            <w:r>
              <w:rPr>
                <w:rFonts w:hint="eastAsia" w:ascii="宋体" w:hAnsi="宋体" w:cs="宋体"/>
                <w:szCs w:val="21"/>
              </w:rPr>
              <w:t>如投标人未提供相关网页截图或所附截图与复核结果不一致的评标委员会应否决其投标。</w:t>
            </w:r>
          </w:p>
          <w:p>
            <w:pPr>
              <w:pStyle w:val="2"/>
              <w:adjustRightInd w:val="0"/>
              <w:snapToGrid w:val="0"/>
              <w:ind w:left="0" w:firstLine="420" w:firstLineChars="200"/>
              <w:rPr>
                <w:rFonts w:hint="eastAsia" w:cs="宋体"/>
                <w:kern w:val="2"/>
                <w:lang w:eastAsia="zh-CN"/>
              </w:rPr>
            </w:pPr>
            <w:r>
              <w:rPr>
                <w:rFonts w:hint="eastAsia" w:cs="宋体"/>
                <w:kern w:val="2"/>
                <w:lang w:eastAsia="zh-CN"/>
              </w:rPr>
              <w:t>（2）评标委员会在评标时按照投标人提供的验证方式对电子保函或电子保证保险进行验证。如投标人未提供电子保函或电子保证保险的验证方式，或根据提供的验证方式无法核实的，评标委员会应否决其投标。</w:t>
            </w:r>
          </w:p>
          <w:p>
            <w:pPr>
              <w:adjustRightInd w:val="0"/>
              <w:snapToGrid w:val="0"/>
              <w:ind w:firstLine="327" w:firstLineChars="156"/>
              <w:jc w:val="left"/>
              <w:rPr>
                <w:rFonts w:hint="eastAsia" w:ascii="宋体" w:hAnsi="宋体" w:cs="微软雅黑"/>
              </w:rPr>
            </w:pPr>
            <w:r>
              <w:rPr>
                <w:rFonts w:hint="eastAsia" w:ascii="宋体" w:hAnsi="宋体" w:cs="宋体"/>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CellMar>
            <w:top w:w="0" w:type="dxa"/>
            <w:left w:w="0" w:type="dxa"/>
            <w:bottom w:w="0" w:type="dxa"/>
            <w:right w:w="0" w:type="dxa"/>
          </w:tblCellMar>
        </w:tblPrEx>
        <w:trPr>
          <w:trHeight w:val="20" w:hRule="atLeast"/>
          <w:jc w:val="center"/>
        </w:trPr>
        <w:tc>
          <w:tcPr>
            <w:tcW w:w="9183" w:type="dxa"/>
            <w:gridSpan w:val="3"/>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其他需要补充的内容：无</w:t>
            </w:r>
          </w:p>
        </w:tc>
      </w:tr>
    </w:tbl>
    <w:p>
      <w:pPr>
        <w:tabs>
          <w:tab w:val="left" w:pos="720"/>
          <w:tab w:val="left" w:pos="1680"/>
          <w:tab w:val="left" w:pos="2620"/>
        </w:tabs>
        <w:autoSpaceDE w:val="0"/>
        <w:autoSpaceDN w:val="0"/>
        <w:adjustRightInd w:val="0"/>
        <w:spacing w:line="296" w:lineRule="exact"/>
        <w:ind w:right="96"/>
        <w:jc w:val="right"/>
        <w:rPr>
          <w:rFonts w:hint="eastAsia"/>
        </w:rPr>
      </w:pPr>
    </w:p>
    <w:p>
      <w:pPr>
        <w:tabs>
          <w:tab w:val="left" w:pos="720"/>
          <w:tab w:val="left" w:pos="1680"/>
          <w:tab w:val="left" w:pos="2620"/>
        </w:tabs>
        <w:autoSpaceDE w:val="0"/>
        <w:autoSpaceDN w:val="0"/>
        <w:adjustRightInd w:val="0"/>
        <w:spacing w:line="296" w:lineRule="exact"/>
        <w:ind w:right="96"/>
        <w:jc w:val="right"/>
        <w:rPr>
          <w:rFonts w:ascii="宋体" w:hAnsi="宋体" w:cs="宋体"/>
          <w:sz w:val="24"/>
        </w:rPr>
      </w:pPr>
      <w:r>
        <w:rPr>
          <w:rFonts w:hint="eastAsia"/>
        </w:rPr>
        <w:t>续上表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022"/>
        <w:gridCol w:w="1134"/>
        <w:gridCol w:w="709"/>
        <w:gridCol w:w="5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Align w:val="center"/>
          </w:tcPr>
          <w:p>
            <w:pPr>
              <w:pStyle w:val="4"/>
              <w:jc w:val="center"/>
              <w:textAlignment w:val="baseline"/>
              <w:rPr>
                <w:rFonts w:hint="eastAsia" w:hAnsi="宋体" w:cs="宋体"/>
                <w:kern w:val="0"/>
                <w:szCs w:val="21"/>
              </w:rPr>
            </w:pPr>
            <w:r>
              <w:rPr>
                <w:rFonts w:hint="eastAsia" w:hAnsi="宋体" w:cs="宋体"/>
              </w:rPr>
              <w:t>条款号</w:t>
            </w:r>
          </w:p>
        </w:tc>
        <w:tc>
          <w:tcPr>
            <w:tcW w:w="1022" w:type="dxa"/>
            <w:vAlign w:val="center"/>
          </w:tcPr>
          <w:p>
            <w:pPr>
              <w:pStyle w:val="4"/>
              <w:jc w:val="center"/>
              <w:textAlignment w:val="baseline"/>
              <w:rPr>
                <w:rFonts w:hint="eastAsia" w:hAnsi="宋体" w:cs="宋体"/>
              </w:rPr>
            </w:pPr>
            <w:r>
              <w:rPr>
                <w:rFonts w:hint="eastAsia" w:hAnsi="宋体" w:cs="宋体"/>
              </w:rPr>
              <w:t>评分因素</w:t>
            </w:r>
          </w:p>
        </w:tc>
        <w:tc>
          <w:tcPr>
            <w:tcW w:w="1134" w:type="dxa"/>
            <w:vAlign w:val="center"/>
          </w:tcPr>
          <w:p>
            <w:pPr>
              <w:adjustRightInd w:val="0"/>
              <w:snapToGrid w:val="0"/>
              <w:jc w:val="center"/>
              <w:rPr>
                <w:rFonts w:ascii="宋体" w:hAnsi="宋体" w:cs="宋体"/>
                <w:szCs w:val="21"/>
                <w:u w:val="single"/>
              </w:rPr>
            </w:pPr>
            <w:r>
              <w:rPr>
                <w:rFonts w:hint="eastAsia" w:ascii="宋体" w:hAnsi="宋体" w:cs="宋体"/>
                <w:szCs w:val="21"/>
              </w:rPr>
              <w:t>评分因素</w:t>
            </w:r>
          </w:p>
        </w:tc>
        <w:tc>
          <w:tcPr>
            <w:tcW w:w="709" w:type="dxa"/>
            <w:vAlign w:val="center"/>
          </w:tcPr>
          <w:p>
            <w:pPr>
              <w:jc w:val="center"/>
              <w:rPr>
                <w:rFonts w:ascii="宋体" w:hAnsi="宋体" w:cs="宋体"/>
                <w:szCs w:val="21"/>
              </w:rPr>
            </w:pPr>
            <w:r>
              <w:rPr>
                <w:rFonts w:ascii="宋体" w:hAnsi="宋体" w:cs="宋体"/>
                <w:spacing w:val="-3"/>
                <w:szCs w:val="21"/>
              </w:rPr>
              <w:t>分</w:t>
            </w:r>
            <w:r>
              <w:rPr>
                <w:rFonts w:ascii="宋体" w:hAnsi="宋体" w:cs="宋体"/>
                <w:spacing w:val="-2"/>
                <w:szCs w:val="21"/>
              </w:rPr>
              <w:t>值</w:t>
            </w:r>
          </w:p>
        </w:tc>
        <w:tc>
          <w:tcPr>
            <w:tcW w:w="5323" w:type="dxa"/>
            <w:vAlign w:val="center"/>
          </w:tcPr>
          <w:p>
            <w:pPr>
              <w:jc w:val="center"/>
              <w:rPr>
                <w:rFonts w:ascii="宋体" w:hAnsi="宋体" w:cs="宋体"/>
                <w:spacing w:val="-3"/>
                <w:szCs w:val="21"/>
              </w:rPr>
            </w:pPr>
            <w:r>
              <w:rPr>
                <w:rFonts w:ascii="宋体" w:hAnsi="宋体" w:cs="宋体"/>
                <w:spacing w:val="-1"/>
                <w:szCs w:val="21"/>
              </w:rPr>
              <w:t>评分</w:t>
            </w:r>
            <w:r>
              <w:rPr>
                <w:rFonts w:ascii="宋体" w:hAnsi="宋体" w:cs="宋体"/>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restart"/>
            <w:vAlign w:val="center"/>
          </w:tcPr>
          <w:p>
            <w:pPr>
              <w:jc w:val="center"/>
              <w:rPr>
                <w:rFonts w:hint="eastAsia" w:ascii="宋体" w:hAnsi="宋体" w:cs="宋体"/>
                <w:szCs w:val="21"/>
              </w:rPr>
            </w:pPr>
            <w:r>
              <w:rPr>
                <w:rFonts w:hint="eastAsia" w:ascii="宋体" w:hAnsi="宋体" w:cs="宋体"/>
                <w:kern w:val="0"/>
                <w:szCs w:val="21"/>
              </w:rPr>
              <w:t>2.2.4(1)</w:t>
            </w:r>
          </w:p>
        </w:tc>
        <w:tc>
          <w:tcPr>
            <w:tcW w:w="1022" w:type="dxa"/>
            <w:vMerge w:val="restart"/>
            <w:vAlign w:val="center"/>
          </w:tcPr>
          <w:p>
            <w:pPr>
              <w:jc w:val="center"/>
              <w:rPr>
                <w:rFonts w:hint="eastAsia" w:ascii="宋体" w:hAnsi="宋体" w:cs="宋体"/>
                <w:szCs w:val="21"/>
              </w:rPr>
            </w:pPr>
            <w:r>
              <w:rPr>
                <w:rFonts w:hint="eastAsia" w:ascii="宋体" w:hAnsi="宋体" w:cs="宋体"/>
                <w:kern w:val="0"/>
                <w:szCs w:val="21"/>
              </w:rPr>
              <w:t>商务评分标准</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投标人信誉</w:t>
            </w:r>
          </w:p>
        </w:tc>
        <w:tc>
          <w:tcPr>
            <w:tcW w:w="709" w:type="dxa"/>
            <w:vAlign w:val="center"/>
          </w:tcPr>
          <w:p>
            <w:pPr>
              <w:jc w:val="center"/>
              <w:rPr>
                <w:rFonts w:ascii="宋体" w:hAnsi="宋体" w:cs="宋体"/>
                <w:szCs w:val="21"/>
              </w:rPr>
            </w:pPr>
            <w:r>
              <w:rPr>
                <w:rFonts w:hint="eastAsia" w:ascii="宋体" w:hAnsi="宋体" w:cs="宋体"/>
                <w:kern w:val="0"/>
                <w:szCs w:val="21"/>
                <w:u w:val="single"/>
              </w:rPr>
              <w:t>5</w:t>
            </w:r>
            <w:r>
              <w:rPr>
                <w:rFonts w:hint="eastAsia" w:ascii="宋体" w:hAnsi="宋体" w:cs="宋体"/>
                <w:kern w:val="0"/>
                <w:szCs w:val="21"/>
              </w:rPr>
              <w:t>分</w:t>
            </w:r>
          </w:p>
        </w:tc>
        <w:tc>
          <w:tcPr>
            <w:tcW w:w="5323" w:type="dxa"/>
            <w:vAlign w:val="center"/>
          </w:tcPr>
          <w:p>
            <w:pPr>
              <w:jc w:val="left"/>
              <w:rPr>
                <w:rFonts w:ascii="宋体" w:hAnsi="宋体" w:cs="宋体"/>
                <w:szCs w:val="21"/>
              </w:rPr>
            </w:pPr>
            <w:r>
              <w:rPr>
                <w:rFonts w:hint="eastAsia" w:ascii="宋体" w:hAnsi="宋体" w:cs="宋体"/>
                <w:szCs w:val="21"/>
              </w:rPr>
              <w:t>满足资格审查条件（信誉最低要求）得5分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continue"/>
            <w:vAlign w:val="center"/>
          </w:tcPr>
          <w:p>
            <w:pPr>
              <w:jc w:val="center"/>
              <w:rPr>
                <w:rFonts w:hint="eastAsia" w:ascii="宋体" w:hAnsi="宋体" w:cs="宋体"/>
                <w:kern w:val="0"/>
                <w:szCs w:val="21"/>
              </w:rPr>
            </w:pPr>
          </w:p>
        </w:tc>
        <w:tc>
          <w:tcPr>
            <w:tcW w:w="1022" w:type="dxa"/>
            <w:vMerge w:val="continue"/>
            <w:vAlign w:val="center"/>
          </w:tcPr>
          <w:p>
            <w:pPr>
              <w:jc w:val="center"/>
              <w:rPr>
                <w:rFonts w:hint="eastAsia" w:ascii="宋体" w:hAnsi="宋体" w:cs="宋体"/>
                <w:kern w:val="0"/>
                <w:szCs w:val="21"/>
              </w:rPr>
            </w:pPr>
          </w:p>
        </w:tc>
        <w:tc>
          <w:tcPr>
            <w:tcW w:w="1134" w:type="dxa"/>
            <w:vMerge w:val="restart"/>
            <w:vAlign w:val="center"/>
          </w:tcPr>
          <w:p>
            <w:pPr>
              <w:adjustRightInd w:val="0"/>
              <w:snapToGrid w:val="0"/>
              <w:jc w:val="center"/>
              <w:rPr>
                <w:rFonts w:ascii="宋体" w:hAnsi="宋体" w:cs="宋体"/>
                <w:szCs w:val="21"/>
              </w:rPr>
            </w:pPr>
            <w:r>
              <w:rPr>
                <w:rFonts w:hint="eastAsia" w:ascii="宋体" w:hAnsi="宋体" w:cs="宋体"/>
                <w:szCs w:val="21"/>
              </w:rPr>
              <w:t>投标货物的业绩</w:t>
            </w:r>
          </w:p>
        </w:tc>
        <w:tc>
          <w:tcPr>
            <w:tcW w:w="709" w:type="dxa"/>
            <w:vMerge w:val="restart"/>
            <w:vAlign w:val="center"/>
          </w:tcPr>
          <w:p>
            <w:pPr>
              <w:jc w:val="center"/>
              <w:rPr>
                <w:rFonts w:ascii="宋体" w:hAnsi="宋体" w:cs="宋体"/>
                <w:szCs w:val="21"/>
              </w:rPr>
            </w:pPr>
            <w:r>
              <w:rPr>
                <w:rFonts w:hint="eastAsia" w:ascii="宋体" w:hAnsi="宋体" w:cs="宋体"/>
                <w:szCs w:val="21"/>
                <w:u w:val="single"/>
              </w:rPr>
              <w:t>20</w:t>
            </w:r>
            <w:r>
              <w:rPr>
                <w:rFonts w:hint="eastAsia" w:ascii="宋体" w:hAnsi="宋体" w:cs="宋体"/>
                <w:szCs w:val="21"/>
              </w:rPr>
              <w:t>分</w:t>
            </w:r>
          </w:p>
        </w:tc>
        <w:tc>
          <w:tcPr>
            <w:tcW w:w="5323" w:type="dxa"/>
            <w:vAlign w:val="center"/>
          </w:tcPr>
          <w:p>
            <w:pPr>
              <w:jc w:val="left"/>
              <w:rPr>
                <w:rFonts w:ascii="宋体" w:hAnsi="宋体" w:cs="宋体"/>
                <w:szCs w:val="21"/>
              </w:rPr>
            </w:pPr>
            <w:r>
              <w:rPr>
                <w:rFonts w:hint="eastAsia" w:ascii="宋体" w:hAnsi="宋体" w:cs="宋体"/>
                <w:szCs w:val="21"/>
              </w:rPr>
              <w:t>满足资格审查条件(业绩最低要求)得12分；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continue"/>
            <w:vAlign w:val="center"/>
          </w:tcPr>
          <w:p>
            <w:pPr>
              <w:jc w:val="center"/>
              <w:rPr>
                <w:rFonts w:hint="eastAsia" w:ascii="宋体" w:hAnsi="宋体" w:cs="宋体"/>
                <w:kern w:val="0"/>
                <w:szCs w:val="21"/>
              </w:rPr>
            </w:pPr>
          </w:p>
        </w:tc>
        <w:tc>
          <w:tcPr>
            <w:tcW w:w="1022" w:type="dxa"/>
            <w:vMerge w:val="continue"/>
            <w:vAlign w:val="center"/>
          </w:tcPr>
          <w:p>
            <w:pPr>
              <w:jc w:val="center"/>
              <w:rPr>
                <w:rFonts w:hint="eastAsia" w:ascii="宋体" w:hAnsi="宋体" w:cs="宋体"/>
                <w:kern w:val="0"/>
                <w:szCs w:val="21"/>
              </w:rPr>
            </w:pPr>
          </w:p>
        </w:tc>
        <w:tc>
          <w:tcPr>
            <w:tcW w:w="1134" w:type="dxa"/>
            <w:vMerge w:val="continue"/>
            <w:vAlign w:val="center"/>
          </w:tcPr>
          <w:p>
            <w:pPr>
              <w:adjustRightInd w:val="0"/>
              <w:snapToGrid w:val="0"/>
              <w:jc w:val="center"/>
              <w:rPr>
                <w:rFonts w:hint="eastAsia" w:ascii="宋体" w:hAnsi="宋体" w:cs="宋体"/>
                <w:szCs w:val="21"/>
              </w:rPr>
            </w:pPr>
          </w:p>
        </w:tc>
        <w:tc>
          <w:tcPr>
            <w:tcW w:w="709" w:type="dxa"/>
            <w:vMerge w:val="continue"/>
            <w:vAlign w:val="center"/>
          </w:tcPr>
          <w:p>
            <w:pPr>
              <w:jc w:val="center"/>
              <w:rPr>
                <w:rFonts w:hint="eastAsia" w:ascii="宋体" w:hAnsi="宋体" w:cs="宋体"/>
                <w:szCs w:val="21"/>
                <w:u w:val="single"/>
              </w:rPr>
            </w:pPr>
          </w:p>
        </w:tc>
        <w:tc>
          <w:tcPr>
            <w:tcW w:w="5323" w:type="dxa"/>
            <w:vAlign w:val="center"/>
          </w:tcPr>
          <w:p>
            <w:pPr>
              <w:jc w:val="left"/>
              <w:rPr>
                <w:rFonts w:ascii="宋体" w:hAnsi="宋体" w:cs="宋体"/>
                <w:szCs w:val="21"/>
              </w:rPr>
            </w:pPr>
            <w:r>
              <w:rPr>
                <w:rFonts w:hint="eastAsia" w:ascii="宋体" w:hAnsi="宋体" w:cs="宋体"/>
                <w:szCs w:val="21"/>
              </w:rPr>
              <w:t>每增加1项满足资格审查条件(业绩最低要求)业绩加4分，最高加8分。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restart"/>
            <w:vAlign w:val="center"/>
          </w:tcPr>
          <w:p>
            <w:pPr>
              <w:jc w:val="center"/>
              <w:rPr>
                <w:rFonts w:hint="eastAsia" w:ascii="宋体" w:hAnsi="宋体" w:cs="宋体"/>
                <w:szCs w:val="21"/>
              </w:rPr>
            </w:pPr>
            <w:r>
              <w:rPr>
                <w:rFonts w:hint="eastAsia" w:ascii="宋体" w:hAnsi="宋体" w:cs="宋体"/>
                <w:kern w:val="0"/>
                <w:szCs w:val="21"/>
              </w:rPr>
              <w:t>2.2.4(2)</w:t>
            </w:r>
          </w:p>
        </w:tc>
        <w:tc>
          <w:tcPr>
            <w:tcW w:w="1022" w:type="dxa"/>
            <w:vMerge w:val="restart"/>
            <w:vAlign w:val="center"/>
          </w:tcPr>
          <w:p>
            <w:pPr>
              <w:adjustRightInd w:val="0"/>
              <w:snapToGrid w:val="0"/>
              <w:jc w:val="center"/>
              <w:rPr>
                <w:rFonts w:hint="eastAsia" w:ascii="宋体" w:hAnsi="宋体" w:cs="宋体"/>
                <w:kern w:val="0"/>
                <w:szCs w:val="21"/>
              </w:rPr>
            </w:pPr>
            <w:r>
              <w:rPr>
                <w:rFonts w:hint="eastAsia" w:ascii="宋体" w:hAnsi="宋体" w:cs="宋体"/>
                <w:kern w:val="0"/>
                <w:szCs w:val="21"/>
              </w:rPr>
              <w:t>技术评分标准</w:t>
            </w:r>
          </w:p>
          <w:p>
            <w:pPr>
              <w:pStyle w:val="2"/>
              <w:adjustRightInd w:val="0"/>
              <w:snapToGrid w:val="0"/>
              <w:ind w:left="0"/>
              <w:rPr>
                <w:rFonts w:hint="eastAsia"/>
                <w:lang w:eastAsia="zh-CN"/>
              </w:rPr>
            </w:pPr>
            <w:r>
              <w:rPr>
                <w:rFonts w:hint="eastAsia"/>
                <w:lang w:eastAsia="zh-CN"/>
              </w:rPr>
              <w:t>（暗标）</w:t>
            </w:r>
          </w:p>
        </w:tc>
        <w:tc>
          <w:tcPr>
            <w:tcW w:w="1134" w:type="dxa"/>
            <w:vAlign w:val="center"/>
          </w:tcPr>
          <w:p>
            <w:pPr>
              <w:adjustRightInd w:val="0"/>
              <w:snapToGrid w:val="0"/>
              <w:jc w:val="center"/>
              <w:rPr>
                <w:rFonts w:ascii="宋体" w:hAnsi="宋体" w:cs="宋体"/>
                <w:szCs w:val="21"/>
              </w:rPr>
            </w:pPr>
            <w:r>
              <w:rPr>
                <w:rFonts w:hint="eastAsia" w:ascii="宋体" w:hAnsi="宋体" w:cs="宋体"/>
                <w:szCs w:val="21"/>
              </w:rPr>
              <w:t>投标货物技术性能指标的响应程度</w:t>
            </w:r>
          </w:p>
        </w:tc>
        <w:tc>
          <w:tcPr>
            <w:tcW w:w="709" w:type="dxa"/>
            <w:vAlign w:val="center"/>
          </w:tcPr>
          <w:p>
            <w:pPr>
              <w:jc w:val="center"/>
              <w:rPr>
                <w:rFonts w:ascii="宋体" w:hAnsi="宋体" w:cs="宋体"/>
                <w:szCs w:val="21"/>
              </w:rPr>
            </w:pPr>
            <w:r>
              <w:rPr>
                <w:rFonts w:hint="eastAsia" w:ascii="宋体" w:hAnsi="宋体" w:cs="宋体"/>
                <w:kern w:val="0"/>
                <w:szCs w:val="21"/>
                <w:u w:val="single"/>
              </w:rPr>
              <w:t>15</w:t>
            </w:r>
            <w:r>
              <w:rPr>
                <w:rFonts w:hint="eastAsia" w:ascii="宋体" w:hAnsi="宋体" w:cs="宋体"/>
                <w:kern w:val="0"/>
                <w:szCs w:val="21"/>
              </w:rPr>
              <w:t>分</w:t>
            </w:r>
          </w:p>
        </w:tc>
        <w:tc>
          <w:tcPr>
            <w:tcW w:w="5323" w:type="dxa"/>
            <w:vAlign w:val="center"/>
          </w:tcPr>
          <w:p>
            <w:pPr>
              <w:jc w:val="left"/>
              <w:rPr>
                <w:rFonts w:ascii="宋体" w:hAnsi="宋体" w:cs="宋体"/>
                <w:szCs w:val="21"/>
              </w:rPr>
            </w:pPr>
            <w:r>
              <w:rPr>
                <w:rFonts w:hint="eastAsia" w:ascii="宋体" w:hAnsi="宋体" w:cs="宋体"/>
                <w:szCs w:val="21"/>
              </w:rPr>
              <w:t>一般得9（含）分；</w:t>
            </w:r>
          </w:p>
          <w:p>
            <w:pPr>
              <w:jc w:val="left"/>
              <w:rPr>
                <w:rFonts w:ascii="宋体" w:hAnsi="宋体" w:cs="宋体"/>
                <w:szCs w:val="21"/>
              </w:rPr>
            </w:pPr>
            <w:r>
              <w:rPr>
                <w:rFonts w:hint="eastAsia" w:ascii="宋体" w:hAnsi="宋体" w:cs="宋体"/>
                <w:szCs w:val="21"/>
              </w:rPr>
              <w:t>良好得9～12（含）分；</w:t>
            </w:r>
          </w:p>
          <w:p>
            <w:pPr>
              <w:jc w:val="left"/>
              <w:rPr>
                <w:rFonts w:ascii="宋体" w:hAnsi="宋体" w:cs="宋体"/>
                <w:szCs w:val="21"/>
              </w:rPr>
            </w:pPr>
            <w:r>
              <w:rPr>
                <w:rFonts w:hint="eastAsia" w:ascii="宋体" w:hAnsi="宋体" w:cs="宋体"/>
                <w:szCs w:val="21"/>
              </w:rPr>
              <w:t>优秀得12～15（含）分。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continue"/>
            <w:vAlign w:val="center"/>
          </w:tcPr>
          <w:p>
            <w:pPr>
              <w:jc w:val="center"/>
              <w:rPr>
                <w:rFonts w:hint="eastAsia" w:ascii="宋体" w:hAnsi="宋体" w:cs="宋体"/>
                <w:kern w:val="0"/>
                <w:szCs w:val="21"/>
              </w:rPr>
            </w:pPr>
          </w:p>
        </w:tc>
        <w:tc>
          <w:tcPr>
            <w:tcW w:w="1022" w:type="dxa"/>
            <w:vMerge w:val="continue"/>
            <w:vAlign w:val="center"/>
          </w:tcPr>
          <w:p>
            <w:pPr>
              <w:jc w:val="center"/>
              <w:rPr>
                <w:rFonts w:hint="eastAsia" w:ascii="宋体" w:hAnsi="宋体" w:cs="宋体"/>
                <w:kern w:val="0"/>
                <w:szCs w:val="21"/>
              </w:rPr>
            </w:pPr>
          </w:p>
        </w:tc>
        <w:tc>
          <w:tcPr>
            <w:tcW w:w="1134" w:type="dxa"/>
            <w:vAlign w:val="center"/>
          </w:tcPr>
          <w:p>
            <w:pPr>
              <w:adjustRightInd w:val="0"/>
              <w:snapToGrid w:val="0"/>
              <w:jc w:val="center"/>
              <w:rPr>
                <w:rFonts w:ascii="宋体" w:hAnsi="宋体" w:cs="宋体"/>
                <w:szCs w:val="21"/>
              </w:rPr>
            </w:pPr>
            <w:r>
              <w:rPr>
                <w:rFonts w:hint="eastAsia" w:ascii="宋体" w:hAnsi="宋体" w:cs="宋体"/>
                <w:szCs w:val="21"/>
              </w:rPr>
              <w:t>对投标货物整体评价</w:t>
            </w:r>
          </w:p>
        </w:tc>
        <w:tc>
          <w:tcPr>
            <w:tcW w:w="709" w:type="dxa"/>
            <w:vAlign w:val="center"/>
          </w:tcPr>
          <w:p>
            <w:pPr>
              <w:jc w:val="center"/>
              <w:rPr>
                <w:rFonts w:ascii="宋体" w:hAnsi="宋体" w:cs="宋体"/>
                <w:kern w:val="0"/>
                <w:szCs w:val="21"/>
                <w:u w:val="single"/>
              </w:rPr>
            </w:pPr>
            <w:r>
              <w:rPr>
                <w:rFonts w:hint="eastAsia" w:ascii="宋体" w:hAnsi="宋体" w:cs="宋体"/>
                <w:kern w:val="0"/>
                <w:szCs w:val="21"/>
                <w:u w:val="single"/>
              </w:rPr>
              <w:t>15</w:t>
            </w:r>
            <w:r>
              <w:rPr>
                <w:rFonts w:hint="eastAsia" w:ascii="宋体" w:hAnsi="宋体" w:cs="宋体"/>
                <w:kern w:val="0"/>
                <w:szCs w:val="21"/>
              </w:rPr>
              <w:t>分</w:t>
            </w:r>
          </w:p>
        </w:tc>
        <w:tc>
          <w:tcPr>
            <w:tcW w:w="5323" w:type="dxa"/>
            <w:vAlign w:val="center"/>
          </w:tcPr>
          <w:p>
            <w:pPr>
              <w:jc w:val="left"/>
              <w:rPr>
                <w:rFonts w:ascii="宋体" w:hAnsi="宋体" w:cs="宋体"/>
                <w:szCs w:val="21"/>
              </w:rPr>
            </w:pPr>
            <w:r>
              <w:rPr>
                <w:rFonts w:hint="eastAsia" w:ascii="宋体" w:hAnsi="宋体" w:cs="宋体"/>
                <w:szCs w:val="21"/>
              </w:rPr>
              <w:t>满足招标文件要求，整体评价一般，得9（含）分；</w:t>
            </w:r>
          </w:p>
          <w:p>
            <w:pPr>
              <w:jc w:val="left"/>
              <w:rPr>
                <w:rFonts w:ascii="宋体" w:hAnsi="宋体" w:cs="宋体"/>
                <w:szCs w:val="21"/>
              </w:rPr>
            </w:pPr>
            <w:r>
              <w:rPr>
                <w:rFonts w:hint="eastAsia" w:ascii="宋体" w:hAnsi="宋体" w:cs="宋体"/>
                <w:szCs w:val="21"/>
              </w:rPr>
              <w:t>满足招标文件要求，整体评价较优越，得9～12（含）分；</w:t>
            </w:r>
          </w:p>
          <w:p>
            <w:pPr>
              <w:jc w:val="left"/>
              <w:rPr>
                <w:rFonts w:ascii="宋体" w:hAnsi="宋体" w:cs="宋体"/>
                <w:szCs w:val="21"/>
              </w:rPr>
            </w:pPr>
            <w:r>
              <w:rPr>
                <w:rFonts w:hint="eastAsia" w:ascii="宋体" w:hAnsi="宋体" w:cs="宋体"/>
                <w:szCs w:val="21"/>
              </w:rPr>
              <w:t>满足招标文件要求，整体评价优越，得12～15（含）分。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continue"/>
            <w:vAlign w:val="center"/>
          </w:tcPr>
          <w:p>
            <w:pPr>
              <w:jc w:val="center"/>
              <w:rPr>
                <w:rFonts w:hint="eastAsia" w:ascii="宋体" w:hAnsi="宋体" w:cs="宋体"/>
                <w:kern w:val="0"/>
                <w:szCs w:val="21"/>
              </w:rPr>
            </w:pPr>
          </w:p>
        </w:tc>
        <w:tc>
          <w:tcPr>
            <w:tcW w:w="1022" w:type="dxa"/>
            <w:vMerge w:val="continue"/>
            <w:vAlign w:val="center"/>
          </w:tcPr>
          <w:p>
            <w:pPr>
              <w:jc w:val="center"/>
              <w:rPr>
                <w:rFonts w:hint="eastAsia" w:ascii="宋体" w:hAnsi="宋体" w:cs="宋体"/>
                <w:kern w:val="0"/>
                <w:szCs w:val="21"/>
              </w:rPr>
            </w:pPr>
          </w:p>
        </w:tc>
        <w:tc>
          <w:tcPr>
            <w:tcW w:w="1134" w:type="dxa"/>
            <w:vAlign w:val="center"/>
          </w:tcPr>
          <w:p>
            <w:pPr>
              <w:adjustRightInd w:val="0"/>
              <w:snapToGrid w:val="0"/>
              <w:jc w:val="center"/>
              <w:rPr>
                <w:rFonts w:ascii="宋体" w:hAnsi="宋体" w:cs="宋体"/>
                <w:szCs w:val="21"/>
              </w:rPr>
            </w:pPr>
            <w:r>
              <w:rPr>
                <w:rFonts w:hint="eastAsia" w:ascii="宋体" w:hAnsi="宋体" w:cs="宋体"/>
                <w:szCs w:val="21"/>
              </w:rPr>
              <w:t>对投标人技术服务和质保期服务能力的评价</w:t>
            </w:r>
          </w:p>
        </w:tc>
        <w:tc>
          <w:tcPr>
            <w:tcW w:w="709" w:type="dxa"/>
            <w:vAlign w:val="center"/>
          </w:tcPr>
          <w:p>
            <w:pPr>
              <w:jc w:val="center"/>
              <w:rPr>
                <w:rFonts w:ascii="宋体" w:hAnsi="宋体" w:cs="宋体"/>
                <w:kern w:val="0"/>
                <w:szCs w:val="21"/>
                <w:u w:val="single"/>
              </w:rPr>
            </w:pPr>
            <w:r>
              <w:rPr>
                <w:rFonts w:hint="eastAsia" w:ascii="宋体" w:hAnsi="宋体" w:cs="宋体"/>
                <w:kern w:val="0"/>
                <w:szCs w:val="21"/>
                <w:u w:val="single"/>
              </w:rPr>
              <w:t>15</w:t>
            </w:r>
            <w:r>
              <w:rPr>
                <w:rFonts w:hint="eastAsia" w:ascii="宋体" w:hAnsi="宋体" w:cs="宋体"/>
                <w:kern w:val="0"/>
                <w:szCs w:val="21"/>
              </w:rPr>
              <w:t>分</w:t>
            </w:r>
          </w:p>
        </w:tc>
        <w:tc>
          <w:tcPr>
            <w:tcW w:w="5323" w:type="dxa"/>
            <w:vAlign w:val="center"/>
          </w:tcPr>
          <w:p>
            <w:pPr>
              <w:adjustRightInd w:val="0"/>
              <w:snapToGrid w:val="0"/>
              <w:jc w:val="left"/>
              <w:rPr>
                <w:rFonts w:ascii="宋体" w:hAnsi="宋体" w:cs="宋体"/>
                <w:szCs w:val="21"/>
              </w:rPr>
            </w:pPr>
            <w:r>
              <w:rPr>
                <w:rFonts w:hint="eastAsia" w:ascii="宋体" w:hAnsi="宋体" w:cs="宋体"/>
                <w:szCs w:val="21"/>
              </w:rPr>
              <w:t>满足招标文件要求，服务能力一般得9（含）分；</w:t>
            </w:r>
          </w:p>
          <w:p>
            <w:pPr>
              <w:pStyle w:val="2"/>
              <w:adjustRightInd w:val="0"/>
              <w:snapToGrid w:val="0"/>
              <w:ind w:left="0"/>
              <w:rPr>
                <w:lang w:eastAsia="zh-CN"/>
              </w:rPr>
            </w:pPr>
            <w:r>
              <w:rPr>
                <w:rFonts w:hint="eastAsia"/>
                <w:lang w:eastAsia="zh-CN"/>
              </w:rPr>
              <w:t>满足招标文件要求，服务能力良好9</w:t>
            </w:r>
            <w:r>
              <w:rPr>
                <w:rFonts w:hint="eastAsia" w:cs="宋体"/>
                <w:lang w:eastAsia="zh-CN"/>
              </w:rPr>
              <w:t>～12（含）分</w:t>
            </w:r>
            <w:r>
              <w:rPr>
                <w:rFonts w:hint="eastAsia"/>
                <w:lang w:eastAsia="zh-CN"/>
              </w:rPr>
              <w:t>；</w:t>
            </w:r>
          </w:p>
          <w:p>
            <w:pPr>
              <w:adjustRightInd w:val="0"/>
              <w:snapToGrid w:val="0"/>
              <w:jc w:val="left"/>
            </w:pPr>
            <w:r>
              <w:rPr>
                <w:rFonts w:hint="eastAsia" w:ascii="宋体" w:hAnsi="宋体" w:cs="宋体"/>
                <w:szCs w:val="21"/>
              </w:rPr>
              <w:t>满足招标文件要求，服务能力优秀，得12～15（含）分。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tcBorders>
              <w:bottom w:val="single" w:color="auto" w:sz="4" w:space="0"/>
            </w:tcBorders>
            <w:vAlign w:val="center"/>
          </w:tcPr>
          <w:p>
            <w:pPr>
              <w:jc w:val="center"/>
              <w:rPr>
                <w:rFonts w:hint="eastAsia" w:ascii="宋体" w:hAnsi="宋体" w:cs="宋体"/>
                <w:szCs w:val="21"/>
              </w:rPr>
            </w:pPr>
            <w:r>
              <w:rPr>
                <w:rFonts w:hint="eastAsia" w:ascii="宋体" w:hAnsi="宋体" w:cs="宋体"/>
                <w:kern w:val="0"/>
                <w:szCs w:val="21"/>
              </w:rPr>
              <w:t>2.2.4(3)</w:t>
            </w:r>
          </w:p>
        </w:tc>
        <w:tc>
          <w:tcPr>
            <w:tcW w:w="1022" w:type="dxa"/>
            <w:tcBorders>
              <w:bottom w:val="single" w:color="auto" w:sz="4" w:space="0"/>
            </w:tcBorders>
            <w:vAlign w:val="center"/>
          </w:tcPr>
          <w:p>
            <w:pPr>
              <w:ind w:left="126" w:hanging="126" w:hangingChars="60"/>
              <w:jc w:val="center"/>
              <w:rPr>
                <w:rFonts w:ascii="宋体" w:hAnsi="宋体" w:cs="宋体"/>
                <w:kern w:val="0"/>
                <w:szCs w:val="21"/>
              </w:rPr>
            </w:pPr>
            <w:r>
              <w:rPr>
                <w:rFonts w:hint="eastAsia" w:ascii="宋体" w:hAnsi="宋体" w:cs="宋体"/>
                <w:kern w:val="0"/>
                <w:szCs w:val="21"/>
              </w:rPr>
              <w:t>评标价</w:t>
            </w:r>
          </w:p>
          <w:p>
            <w:pPr>
              <w:ind w:left="126" w:hanging="126" w:hangingChars="60"/>
              <w:jc w:val="center"/>
              <w:rPr>
                <w:rFonts w:hint="eastAsia" w:ascii="宋体" w:hAnsi="宋体" w:cs="宋体"/>
                <w:szCs w:val="21"/>
              </w:rPr>
            </w:pPr>
            <w:r>
              <w:rPr>
                <w:rFonts w:hint="eastAsia" w:ascii="宋体" w:hAnsi="宋体" w:cs="宋体"/>
                <w:kern w:val="0"/>
                <w:szCs w:val="21"/>
              </w:rPr>
              <w:t>（</w:t>
            </w:r>
            <w:r>
              <w:rPr>
                <w:rFonts w:hint="eastAsia" w:ascii="宋体" w:hAnsi="宋体" w:cs="宋体"/>
                <w:kern w:val="0"/>
                <w:szCs w:val="21"/>
                <w:u w:val="single"/>
              </w:rPr>
              <w:t>30</w:t>
            </w:r>
            <w:r>
              <w:rPr>
                <w:rFonts w:hint="eastAsia" w:ascii="宋体" w:hAnsi="宋体" w:cs="宋体"/>
                <w:kern w:val="0"/>
                <w:szCs w:val="21"/>
              </w:rPr>
              <w:t>分）</w:t>
            </w:r>
          </w:p>
        </w:tc>
        <w:tc>
          <w:tcPr>
            <w:tcW w:w="7166" w:type="dxa"/>
            <w:gridSpan w:val="3"/>
            <w:tcBorders>
              <w:bottom w:val="single" w:color="auto" w:sz="4" w:space="0"/>
            </w:tcBorders>
            <w:vAlign w:val="center"/>
          </w:tcPr>
          <w:p>
            <w:pPr>
              <w:adjustRightInd w:val="0"/>
              <w:snapToGrid w:val="0"/>
              <w:rPr>
                <w:rFonts w:hint="eastAsia" w:ascii="宋体" w:hAnsi="宋体" w:cs="宋体"/>
                <w:kern w:val="0"/>
                <w:szCs w:val="21"/>
              </w:rPr>
            </w:pPr>
            <w:r>
              <w:rPr>
                <w:rFonts w:hint="eastAsia" w:ascii="宋体" w:hAnsi="宋体" w:cs="宋体"/>
                <w:kern w:val="0"/>
                <w:szCs w:val="21"/>
              </w:rPr>
              <w:t>评标价得分计算公式示例：</w:t>
            </w:r>
          </w:p>
          <w:p>
            <w:pPr>
              <w:adjustRightInd w:val="0"/>
              <w:snapToGrid w:val="0"/>
              <w:rPr>
                <w:rFonts w:hint="eastAsia" w:ascii="宋体" w:hAnsi="宋体" w:cs="宋体"/>
                <w:spacing w:val="-2"/>
                <w:kern w:val="0"/>
                <w:szCs w:val="21"/>
              </w:rPr>
            </w:pPr>
            <w:r>
              <w:rPr>
                <w:rFonts w:hint="eastAsia" w:ascii="宋体" w:hAnsi="宋体" w:cs="宋体"/>
                <w:kern w:val="0"/>
                <w:szCs w:val="21"/>
              </w:rPr>
              <w:t>(1)</w:t>
            </w:r>
            <w:r>
              <w:rPr>
                <w:rFonts w:hint="eastAsia" w:ascii="宋体" w:hAnsi="宋体" w:cs="宋体"/>
                <w:spacing w:val="-2"/>
                <w:kern w:val="0"/>
                <w:szCs w:val="21"/>
              </w:rPr>
              <w:t>如果投标人的评标价&gt;评标基准价，则评标价得分=F-偏差率×100×E</w:t>
            </w:r>
            <w:r>
              <w:rPr>
                <w:rFonts w:hint="eastAsia" w:ascii="宋体" w:hAnsi="宋体" w:cs="宋体"/>
                <w:spacing w:val="-2"/>
                <w:kern w:val="0"/>
                <w:szCs w:val="21"/>
                <w:vertAlign w:val="subscript"/>
              </w:rPr>
              <w:t>1</w:t>
            </w:r>
            <w:r>
              <w:rPr>
                <w:rFonts w:hint="eastAsia" w:ascii="宋体" w:hAnsi="宋体" w:cs="宋体"/>
                <w:spacing w:val="-2"/>
                <w:kern w:val="0"/>
                <w:szCs w:val="21"/>
              </w:rPr>
              <w:t>；</w:t>
            </w:r>
          </w:p>
          <w:p>
            <w:pPr>
              <w:adjustRightInd w:val="0"/>
              <w:snapToGrid w:val="0"/>
              <w:rPr>
                <w:rFonts w:hint="eastAsia" w:ascii="宋体" w:hAnsi="宋体" w:cs="宋体"/>
                <w:kern w:val="0"/>
                <w:szCs w:val="21"/>
              </w:rPr>
            </w:pPr>
            <w:r>
              <w:rPr>
                <w:rFonts w:hint="eastAsia" w:ascii="宋体" w:hAnsi="宋体" w:cs="宋体"/>
                <w:kern w:val="0"/>
                <w:szCs w:val="21"/>
              </w:rPr>
              <w:t>(2</w:t>
            </w:r>
            <w:r>
              <w:rPr>
                <w:rFonts w:hint="eastAsia" w:ascii="宋体" w:hAnsi="宋体" w:cs="宋体"/>
                <w:spacing w:val="-2"/>
                <w:kern w:val="0"/>
                <w:szCs w:val="21"/>
              </w:rPr>
              <w:t>)如果投标人的评标价≤评标基准价，则评标价得分=F+偏差率×100×E</w:t>
            </w:r>
            <w:r>
              <w:rPr>
                <w:rFonts w:hint="eastAsia" w:ascii="宋体" w:hAnsi="宋体" w:cs="宋体"/>
                <w:spacing w:val="-2"/>
                <w:kern w:val="0"/>
                <w:szCs w:val="21"/>
                <w:vertAlign w:val="subscript"/>
              </w:rPr>
              <w:t>2</w:t>
            </w:r>
            <w:r>
              <w:rPr>
                <w:rFonts w:hint="eastAsia" w:ascii="宋体" w:hAnsi="宋体" w:cs="宋体"/>
                <w:spacing w:val="-2"/>
                <w:kern w:val="0"/>
                <w:szCs w:val="21"/>
              </w:rPr>
              <w:t>。</w:t>
            </w:r>
          </w:p>
          <w:p>
            <w:pPr>
              <w:adjustRightInd w:val="0"/>
              <w:snapToGrid w:val="0"/>
              <w:rPr>
                <w:rFonts w:hint="eastAsia" w:ascii="宋体" w:hAnsi="宋体" w:cs="宋体"/>
                <w:szCs w:val="21"/>
              </w:rPr>
            </w:pPr>
            <w:r>
              <w:rPr>
                <w:rFonts w:hint="eastAsia" w:ascii="宋体" w:hAnsi="宋体" w:cs="宋体"/>
                <w:kern w:val="0"/>
                <w:szCs w:val="21"/>
              </w:rPr>
              <w:t>其中：F=30，E</w:t>
            </w:r>
            <w:r>
              <w:rPr>
                <w:rFonts w:hint="eastAsia" w:ascii="宋体" w:hAnsi="宋体" w:cs="宋体"/>
                <w:kern w:val="0"/>
                <w:szCs w:val="21"/>
                <w:vertAlign w:val="subscript"/>
              </w:rPr>
              <w:t>1</w:t>
            </w:r>
            <w:r>
              <w:rPr>
                <w:rFonts w:hint="eastAsia" w:ascii="宋体" w:hAnsi="宋体" w:cs="宋体"/>
                <w:kern w:val="0"/>
                <w:szCs w:val="21"/>
              </w:rPr>
              <w:t>=0.2；E</w:t>
            </w:r>
            <w:r>
              <w:rPr>
                <w:rFonts w:hint="eastAsia" w:ascii="宋体" w:hAnsi="宋体" w:cs="宋体"/>
                <w:kern w:val="0"/>
                <w:szCs w:val="21"/>
                <w:vertAlign w:val="subscript"/>
              </w:rPr>
              <w:t>2</w:t>
            </w:r>
            <w:r>
              <w:rPr>
                <w:rFonts w:hint="eastAsia" w:ascii="宋体" w:hAnsi="宋体" w:cs="宋体"/>
                <w:kern w:val="0"/>
                <w:szCs w:val="21"/>
              </w:rPr>
              <w:t>=0.1</w:t>
            </w:r>
            <w:r>
              <w:rPr>
                <w:rFonts w:hint="eastAsia" w:ascii="宋体" w:hAnsi="宋体" w:cs="宋体"/>
                <w:szCs w:val="21"/>
              </w:rPr>
              <w:t>评标价最低得分为0分。（得分计算保留两位小数，第三位四舍五入）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2.2.4(4)</w:t>
            </w:r>
          </w:p>
        </w:tc>
        <w:tc>
          <w:tcPr>
            <w:tcW w:w="1022"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cs="宋体"/>
                <w:szCs w:val="21"/>
              </w:rPr>
            </w:pPr>
            <w:r>
              <w:rPr>
                <w:rFonts w:hint="eastAsia" w:ascii="宋体" w:hAnsi="宋体" w:cs="宋体"/>
                <w:kern w:val="0"/>
                <w:szCs w:val="21"/>
              </w:rPr>
              <w:t>其他因素</w:t>
            </w:r>
          </w:p>
        </w:tc>
        <w:tc>
          <w:tcPr>
            <w:tcW w:w="716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u w:val="single"/>
              </w:rPr>
              <w:t>0</w:t>
            </w:r>
            <w:r>
              <w:rPr>
                <w:rFonts w:hint="eastAsia" w:ascii="宋体" w:hAnsi="宋体" w:cs="宋体"/>
                <w:kern w:val="0"/>
                <w:szCs w:val="21"/>
              </w:rPr>
              <w:t>分</w:t>
            </w:r>
          </w:p>
        </w:tc>
      </w:tr>
    </w:tbl>
    <w:p>
      <w:pPr>
        <w:adjustRightInd w:val="0"/>
        <w:snapToGrid w:val="0"/>
        <w:jc w:val="left"/>
        <w:rPr>
          <w:rFonts w:hint="eastAsia" w:ascii="宋体" w:hAnsi="宋体"/>
          <w:szCs w:val="21"/>
        </w:rPr>
      </w:pPr>
      <w:r>
        <w:rPr>
          <w:rFonts w:ascii="宋体" w:hAnsi="宋体"/>
          <w:szCs w:val="21"/>
        </w:rPr>
        <w:t>注</w:t>
      </w:r>
      <w:r>
        <w:rPr>
          <w:rFonts w:hint="eastAsia" w:ascii="宋体" w:hAnsi="宋体"/>
          <w:szCs w:val="21"/>
        </w:rPr>
        <w:t>：各评分因素得分应以评标委员会各成员的打分平均值确定，保留两位小数，第三位四舍五入。</w:t>
      </w:r>
    </w:p>
    <w:p>
      <w:r>
        <w:rPr>
          <w:rFonts w:hint="eastAsia" w:ascii="宋体" w:hAnsi="宋体"/>
          <w:szCs w:val="21"/>
        </w:rPr>
        <w:t>技术部分</w:t>
      </w:r>
      <w:r>
        <w:rPr>
          <w:rFonts w:hint="eastAsia" w:ascii="宋体" w:hAnsi="宋体" w:cs="宋体"/>
          <w:szCs w:val="21"/>
        </w:rPr>
        <w:t>评分因素</w:t>
      </w:r>
      <w:r>
        <w:rPr>
          <w:rFonts w:hint="eastAsia" w:ascii="宋体" w:hAnsi="宋体"/>
          <w:szCs w:val="21"/>
        </w:rPr>
        <w:t>缺项则该项得0分。</w:t>
      </w: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QESITV+SimSun">
    <w:altName w:val="Segoe Print"/>
    <w:panose1 w:val="00000000000000000000"/>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5C255377"/>
    <w:rsid w:val="03655221"/>
    <w:rsid w:val="5C255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ind w:left="100"/>
      <w:jc w:val="left"/>
    </w:pPr>
    <w:rPr>
      <w:rFonts w:ascii="宋体" w:hAnsi="宋体"/>
      <w:kern w:val="0"/>
      <w:szCs w:val="21"/>
      <w:lang w:eastAsia="en-US"/>
    </w:rPr>
  </w:style>
  <w:style w:type="paragraph" w:styleId="3">
    <w:name w:val="Body Text 2"/>
    <w:basedOn w:val="1"/>
    <w:qFormat/>
    <w:uiPriority w:val="99"/>
    <w:rPr>
      <w:rFonts w:ascii="宋体" w:hAnsi="宋体"/>
      <w:sz w:val="28"/>
    </w:rPr>
  </w:style>
  <w:style w:type="paragraph" w:styleId="4">
    <w:name w:val="Plain Text"/>
    <w:basedOn w:val="1"/>
    <w:qFormat/>
    <w:uiPriority w:val="0"/>
    <w:rPr>
      <w:rFonts w:ascii="宋体" w:hAnsi="Courier New"/>
      <w:szCs w:val="20"/>
    </w:rPr>
  </w:style>
  <w:style w:type="character" w:customStyle="1" w:styleId="7">
    <w:name w:val="目录4 Char"/>
    <w:autoRedefine/>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2024-06-28T02:41:00Z</dcterms:created>
  <dc:creator>赵凌云</dc:creator>
  <cp:lastModifiedBy>赵凌云</cp:lastModifiedBy>
  <dcterms:modified xsi:type="dcterms:W3CDTF">2024-06-28T02:44:22Z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27D386574C4345C4B6F76A10B01C2D7C_13</vt:lpwstr>
  </property>
</Properties>
</file>