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rPr>
          <w:rFonts w:hint="eastAsia"/>
          <w:szCs w:val="24"/>
        </w:rPr>
      </w:pPr>
    </w:p>
    <w:p>
      <w:pPr>
        <w:spacing w:after="120"/>
        <w:ind w:left="420" w:firstLine="420"/>
        <w:rPr>
          <w:rFonts w:hint="eastAsia"/>
          <w:szCs w:val="24"/>
        </w:rPr>
      </w:pPr>
    </w:p>
    <w:p>
      <w:pPr>
        <w:spacing w:after="120"/>
        <w:ind w:left="420" w:firstLine="420"/>
        <w:rPr>
          <w:rFonts w:hint="eastAsia"/>
          <w:szCs w:val="24"/>
        </w:rPr>
      </w:pPr>
    </w:p>
    <w:p>
      <w:pPr>
        <w:jc w:val="left"/>
        <w:rPr>
          <w:rFonts w:hint="eastAsia" w:ascii="宋体" w:hAnsi="宋体"/>
          <w:b/>
          <w:color w:val="000000"/>
          <w:sz w:val="28"/>
          <w:szCs w:val="28"/>
        </w:rPr>
      </w:pPr>
      <w:r>
        <w:rPr>
          <w:rFonts w:hint="eastAsia" w:ascii="宋体" w:hAnsi="宋体"/>
          <w:b/>
          <w:color w:val="000000"/>
          <w:sz w:val="28"/>
          <w:szCs w:val="28"/>
        </w:rPr>
        <w:t>附件2：资格审查条件</w:t>
      </w:r>
    </w:p>
    <w:p>
      <w:pPr>
        <w:spacing w:after="120"/>
        <w:ind w:left="360"/>
        <w:rPr>
          <w:rFonts w:hint="eastAsia"/>
          <w:szCs w:val="24"/>
        </w:rPr>
      </w:pPr>
    </w:p>
    <w:p>
      <w:pPr>
        <w:spacing w:after="120"/>
        <w:ind w:left="360"/>
        <w:rPr>
          <w:rFonts w:hint="eastAsia"/>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3"/>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blHeader/>
        </w:trPr>
        <w:tc>
          <w:tcPr>
            <w:tcW w:w="9286" w:type="dxa"/>
            <w:noWrap w:val="0"/>
            <w:vAlign w:val="center"/>
          </w:tcPr>
          <w:p>
            <w:pPr>
              <w:spacing w:line="280" w:lineRule="exact"/>
              <w:ind w:firstLine="420" w:firstLineChars="200"/>
              <w:rPr>
                <w:rFonts w:hint="eastAsia" w:ascii="宋体" w:hAnsi="宋体"/>
                <w:color w:val="000000"/>
                <w:szCs w:val="21"/>
              </w:rPr>
            </w:pPr>
            <w:r>
              <w:rPr>
                <w:rFonts w:hint="eastAsia" w:ascii="宋体" w:hAnsi="宋体"/>
                <w:color w:val="000000"/>
                <w:szCs w:val="21"/>
              </w:rPr>
              <w:t>供应商须具有独立企业法人资格、持有工商行政管理部门核发的有效的营业执照。</w:t>
            </w:r>
          </w:p>
          <w:p>
            <w:pPr>
              <w:adjustRightInd w:val="0"/>
              <w:snapToGrid w:val="0"/>
              <w:ind w:left="-105" w:leftChars="-50" w:right="-78" w:rightChars="-37"/>
              <w:jc w:val="left"/>
              <w:rPr>
                <w:rFonts w:hint="eastAsia" w:ascii="宋体" w:hAnsi="宋体"/>
                <w:b/>
                <w:color w:val="000000"/>
                <w:szCs w:val="21"/>
              </w:rPr>
            </w:pPr>
          </w:p>
        </w:tc>
      </w:tr>
    </w:tbl>
    <w:p>
      <w:pPr>
        <w:rPr>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3"/>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供应商在过去1年（2022年10月1日至开标日）中不曾在任何公路项目中违约或被驱逐或因供应商自身的原因而使任何合同被解除。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在“信用中国”网站（http://www.creditchina.gov.cn/）中未被列入失信被执行人名单、企业经营异常名录、重大税收违法失信主体、政府采购严重违法失信名单。</w:t>
            </w:r>
          </w:p>
        </w:tc>
      </w:tr>
    </w:tbl>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1A7D057D"/>
    <w:rsid w:val="1A7D057D"/>
    <w:rsid w:val="1DE63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2023-12-20T08:10:00Z</dcterms:created>
  <dc:creator>独守一座空城ノ苍颜了谁</dc:creator>
  <cp:lastModifiedBy>独守一座空城ノ苍颜了谁</cp:lastModifiedBy>
  <dcterms:modified xsi:type="dcterms:W3CDTF">2023-12-20T08:11:12Z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7A5D22C32D3842C091ED4E4D6CA13881_11</vt:lpwstr>
  </property>
</Properties>
</file>