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textAlignment w:val="baseline"/>
        <w:rPr>
          <w:rFonts w:asciiTheme="minorEastAsia" w:hAnsiTheme="minorEastAsia" w:eastAsiaTheme="minorEastAsia"/>
          <w:sz w:val="24"/>
          <w:szCs w:val="24"/>
        </w:rPr>
      </w:pPr>
      <w:bookmarkStart w:id="0" w:name="_Toc111638756"/>
      <w:bookmarkStart w:id="1" w:name="_Toc111638816"/>
      <w:r>
        <w:rPr>
          <w:rFonts w:asciiTheme="minorEastAsia" w:hAnsiTheme="minorEastAsia" w:eastAsiaTheme="minorEastAsia"/>
          <w:sz w:val="24"/>
          <w:szCs w:val="24"/>
        </w:rPr>
        <w:t>附件2</w:t>
      </w:r>
      <w:r>
        <w:rPr>
          <w:rFonts w:hint="eastAsia" w:asciiTheme="minorEastAsia" w:hAnsiTheme="minorEastAsia" w:eastAsiaTheme="minorEastAsia"/>
          <w:sz w:val="24"/>
          <w:szCs w:val="24"/>
        </w:rPr>
        <w:t>：评标办法前附表</w:t>
      </w:r>
      <w:bookmarkEnd w:id="0"/>
      <w:bookmarkEnd w:id="1"/>
    </w:p>
    <w:p>
      <w:pPr>
        <w:spacing w:line="360" w:lineRule="auto"/>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评标办法前附表</w:t>
      </w:r>
    </w:p>
    <w:tbl>
      <w:tblPr>
        <w:tblStyle w:val="7"/>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229"/>
        <w:gridCol w:w="7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条款号</w:t>
            </w:r>
          </w:p>
        </w:tc>
        <w:tc>
          <w:tcPr>
            <w:tcW w:w="122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条款名称</w:t>
            </w:r>
          </w:p>
        </w:tc>
        <w:tc>
          <w:tcPr>
            <w:tcW w:w="700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1</w:t>
            </w:r>
          </w:p>
        </w:tc>
        <w:tc>
          <w:tcPr>
            <w:tcW w:w="122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评标办法</w:t>
            </w:r>
          </w:p>
        </w:tc>
        <w:tc>
          <w:tcPr>
            <w:tcW w:w="7008" w:type="dxa"/>
            <w:tcBorders>
              <w:top w:val="single" w:color="auto" w:sz="4" w:space="0"/>
              <w:left w:val="single" w:color="auto" w:sz="4" w:space="0"/>
              <w:bottom w:val="single" w:color="auto" w:sz="4" w:space="0"/>
              <w:right w:val="single" w:color="auto" w:sz="4" w:space="0"/>
            </w:tcBorders>
            <w:vAlign w:val="center"/>
          </w:tcPr>
          <w:p>
            <w:pPr>
              <w:ind w:firstLine="420" w:firstLineChars="200"/>
              <w:jc w:val="left"/>
              <w:textAlignment w:val="baseline"/>
              <w:rPr>
                <w:rFonts w:asciiTheme="minorEastAsia" w:hAnsiTheme="minorEastAsia" w:eastAsiaTheme="minorEastAsia"/>
                <w:sz w:val="20"/>
              </w:rPr>
            </w:pPr>
            <w:r>
              <w:rPr>
                <w:rFonts w:hint="eastAsia" w:asciiTheme="minorEastAsia" w:hAnsiTheme="minorEastAsia" w:eastAsiaTheme="minorEastAsia"/>
              </w:rPr>
              <w:t>本次评标采用综合评估法。评标委员会对满足招标文件实质性要求的投标文件，按照本章第2.2款规定的评分标准进行打分，并按得分由高到低顺序推荐1</w:t>
            </w:r>
            <w:r>
              <w:rPr>
                <w:rFonts w:asciiTheme="minorEastAsia" w:hAnsiTheme="minorEastAsia" w:eastAsiaTheme="minorEastAsia"/>
              </w:rPr>
              <w:t>-3</w:t>
            </w:r>
            <w:r>
              <w:rPr>
                <w:rFonts w:hint="eastAsia" w:asciiTheme="minorEastAsia" w:hAnsiTheme="minorEastAsia" w:eastAsiaTheme="minorEastAsia"/>
              </w:rPr>
              <w:t>名中标候选人。综合评分相等时，评标委员会依次按照以下优先顺序推荐中标候选人：</w:t>
            </w:r>
          </w:p>
          <w:p>
            <w:pPr>
              <w:ind w:left="205" w:leftChars="97" w:hanging="1"/>
              <w:jc w:val="left"/>
              <w:textAlignment w:val="baseline"/>
              <w:rPr>
                <w:rFonts w:asciiTheme="minorEastAsia" w:hAnsiTheme="minorEastAsia" w:eastAsiaTheme="minorEastAsia"/>
                <w:sz w:val="20"/>
              </w:rPr>
            </w:pPr>
            <w:r>
              <w:rPr>
                <w:rFonts w:hint="eastAsia" w:asciiTheme="minorEastAsia" w:hAnsiTheme="minorEastAsia" w:eastAsiaTheme="minorEastAsia"/>
              </w:rPr>
              <w:t>（1）评标价低的投标人优先；</w:t>
            </w:r>
          </w:p>
          <w:p>
            <w:pPr>
              <w:snapToGrid w:val="0"/>
              <w:spacing w:line="320" w:lineRule="exact"/>
              <w:ind w:left="205" w:leftChars="97" w:hanging="1"/>
              <w:jc w:val="left"/>
              <w:rPr>
                <w:rFonts w:hAnsi="宋体"/>
              </w:rPr>
            </w:pPr>
            <w:r>
              <w:rPr>
                <w:rFonts w:hint="eastAsia" w:ascii="宋体" w:hAnsi="宋体"/>
                <w:spacing w:val="-4"/>
                <w:szCs w:val="21"/>
              </w:rPr>
              <w:t>（2）按</w:t>
            </w:r>
            <w:r>
              <w:rPr>
                <w:rFonts w:hint="eastAsia" w:hAnsi="宋体"/>
              </w:rPr>
              <w:t>技术建议书“</w:t>
            </w:r>
            <w:r>
              <w:t>各评分因素细分项</w:t>
            </w:r>
            <w:r>
              <w:rPr>
                <w:rFonts w:hint="eastAsia" w:hAnsi="宋体"/>
              </w:rPr>
              <w:t>”的先后顺序，得分较高的投标人优先。</w:t>
            </w:r>
          </w:p>
          <w:p>
            <w:pPr>
              <w:ind w:firstLine="210" w:firstLineChars="100"/>
              <w:jc w:val="left"/>
              <w:textAlignment w:val="baseline"/>
              <w:rPr>
                <w:rFonts w:asciiTheme="minorEastAsia" w:hAnsiTheme="minorEastAsia" w:eastAsiaTheme="minorEastAsia"/>
                <w:spacing w:val="-4"/>
                <w:sz w:val="20"/>
                <w:szCs w:val="21"/>
              </w:rPr>
            </w:pPr>
            <w:r>
              <w:rPr>
                <w:rFonts w:hint="eastAsia" w:hAnsi="宋体"/>
              </w:rPr>
              <w:t>（3）技术建议书“</w:t>
            </w:r>
            <w:r>
              <w:t>各评分因素细分项</w:t>
            </w:r>
            <w:r>
              <w:rPr>
                <w:rFonts w:hint="eastAsia" w:hAnsi="宋体"/>
              </w:rPr>
              <w:t>”得分也相等时，以企业业绩合同额高低顺序，合同额高的优先。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2.1.1</w:t>
            </w:r>
          </w:p>
          <w:p>
            <w:pPr>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2.1.3</w:t>
            </w:r>
          </w:p>
        </w:tc>
        <w:tc>
          <w:tcPr>
            <w:tcW w:w="122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形式评审与响应性评审标准</w:t>
            </w:r>
          </w:p>
        </w:tc>
        <w:tc>
          <w:tcPr>
            <w:tcW w:w="7008" w:type="dxa"/>
            <w:tcBorders>
              <w:top w:val="single" w:color="auto" w:sz="4" w:space="0"/>
              <w:left w:val="single" w:color="auto" w:sz="4" w:space="0"/>
              <w:bottom w:val="single" w:color="auto" w:sz="4" w:space="0"/>
              <w:right w:val="single" w:color="auto" w:sz="4" w:space="0"/>
            </w:tcBorders>
          </w:tcPr>
          <w:p>
            <w:pPr>
              <w:snapToGrid w:val="0"/>
              <w:spacing w:line="264" w:lineRule="auto"/>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第一个信封（商务和技术文件）评审标准：</w:t>
            </w:r>
          </w:p>
          <w:p>
            <w:pPr>
              <w:snapToGrid w:val="0"/>
              <w:spacing w:line="264" w:lineRule="auto"/>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投标文件按照招标文件规定的格式、内容填写，字迹清晰可辨。</w:t>
            </w:r>
          </w:p>
          <w:p>
            <w:pPr>
              <w:snapToGrid w:val="0"/>
              <w:spacing w:line="264" w:lineRule="auto"/>
              <w:textAlignment w:val="baseline"/>
              <w:rPr>
                <w:rFonts w:asciiTheme="minorEastAsia" w:hAnsiTheme="minorEastAsia" w:eastAsiaTheme="minorEastAsia"/>
                <w:szCs w:val="21"/>
              </w:rPr>
            </w:pPr>
            <w:r>
              <w:rPr>
                <w:rFonts w:hint="eastAsia" w:asciiTheme="minorEastAsia" w:hAnsiTheme="minorEastAsia" w:eastAsiaTheme="minorEastAsia"/>
                <w:szCs w:val="21"/>
              </w:rPr>
              <w:t>a．投标函按招标文件规定填报了项目名称、标段号、补遗书编号（如有）、总监理工程师、质量要求、安全目标、监理服务期限相关信息；</w:t>
            </w:r>
          </w:p>
          <w:p>
            <w:pPr>
              <w:snapToGrid w:val="0"/>
              <w:spacing w:line="264" w:lineRule="auto"/>
              <w:textAlignment w:val="baseline"/>
              <w:rPr>
                <w:rFonts w:asciiTheme="minorEastAsia" w:hAnsiTheme="minorEastAsia" w:eastAsiaTheme="minorEastAsia"/>
                <w:szCs w:val="21"/>
              </w:rPr>
            </w:pPr>
            <w:r>
              <w:rPr>
                <w:rFonts w:hint="eastAsia" w:asciiTheme="minorEastAsia" w:hAnsiTheme="minorEastAsia" w:eastAsiaTheme="minorEastAsia"/>
                <w:szCs w:val="21"/>
              </w:rPr>
              <w:t>b．投标文件组成齐全完整，内容均按规定填写；</w:t>
            </w:r>
          </w:p>
          <w:p>
            <w:pPr>
              <w:pStyle w:val="5"/>
              <w:ind w:firstLine="0"/>
              <w:rPr>
                <w:rFonts w:asciiTheme="minorEastAsia" w:hAnsiTheme="minorEastAsia" w:eastAsiaTheme="minorEastAsia"/>
                <w:sz w:val="21"/>
                <w:szCs w:val="21"/>
              </w:rPr>
            </w:pPr>
            <w:r>
              <w:rPr>
                <w:rFonts w:hint="eastAsia" w:asciiTheme="minorEastAsia" w:hAnsiTheme="minorEastAsia" w:eastAsiaTheme="minorEastAsia"/>
                <w:sz w:val="21"/>
                <w:szCs w:val="21"/>
              </w:rPr>
              <w:t>c.技术建议书暗标编制满足要求；</w:t>
            </w:r>
          </w:p>
          <w:p>
            <w:pPr>
              <w:pStyle w:val="3"/>
              <w:ind w:firstLine="0" w:firstLineChars="0"/>
            </w:pPr>
            <w:r>
              <w:rPr>
                <w:rFonts w:hint="eastAsia" w:asciiTheme="minorEastAsia" w:hAnsiTheme="minorEastAsia" w:eastAsiaTheme="minorEastAsia"/>
                <w:szCs w:val="21"/>
              </w:rPr>
              <w:t>d.投标人递交的投标文件与标段相对应；</w:t>
            </w:r>
          </w:p>
          <w:p>
            <w:pPr>
              <w:snapToGrid w:val="0"/>
              <w:spacing w:line="264" w:lineRule="auto"/>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投标文件上法定代表人或其授权代理人的签字、投标人的单位章盖章齐全，符合招标文件规定。</w:t>
            </w:r>
          </w:p>
          <w:p>
            <w:pPr>
              <w:snapToGrid w:val="0"/>
              <w:spacing w:line="264" w:lineRule="auto"/>
              <w:textAlignment w:val="baseline"/>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cs="宋体" w:asciiTheme="minorEastAsia" w:hAnsiTheme="minorEastAsia" w:eastAsiaTheme="minorEastAsia"/>
                <w:kern w:val="0"/>
                <w:szCs w:val="21"/>
              </w:rPr>
              <w:t>投标人按照招标文件的规定提供了投标保证金。</w:t>
            </w:r>
          </w:p>
          <w:p>
            <w:pPr>
              <w:snapToGrid w:val="0"/>
              <w:spacing w:line="264" w:lineRule="auto"/>
              <w:ind w:firstLine="289" w:firstLineChars="138"/>
              <w:jc w:val="left"/>
              <w:rPr>
                <w:rFonts w:asciiTheme="minorEastAsia" w:hAnsiTheme="minorEastAsia" w:eastAsiaTheme="minorEastAsia"/>
                <w:szCs w:val="21"/>
              </w:rPr>
            </w:pPr>
            <w:r>
              <w:rPr>
                <w:rFonts w:hint="eastAsia" w:asciiTheme="minorEastAsia" w:hAnsiTheme="minorEastAsia" w:eastAsiaTheme="minorEastAsia"/>
                <w:szCs w:val="21"/>
              </w:rPr>
              <w:t>a．投标保证金金额符合招标文件规定的金额，且投标保证金有效期不少于投标有效期；</w:t>
            </w:r>
          </w:p>
          <w:p>
            <w:pPr>
              <w:snapToGrid w:val="0"/>
              <w:spacing w:line="264" w:lineRule="auto"/>
              <w:ind w:firstLine="289" w:firstLineChars="138"/>
              <w:jc w:val="left"/>
              <w:rPr>
                <w:rFonts w:asciiTheme="minorEastAsia" w:hAnsiTheme="minorEastAsia" w:eastAsiaTheme="minorEastAsia"/>
                <w:szCs w:val="21"/>
              </w:rPr>
            </w:pPr>
            <w:r>
              <w:rPr>
                <w:rFonts w:hint="eastAsia" w:asciiTheme="minorEastAsia" w:hAnsiTheme="minorEastAsia" w:eastAsiaTheme="minorEastAsia"/>
                <w:szCs w:val="21"/>
              </w:rPr>
              <w:t>b.若投标保证金采用电汇、转账、支票、汇票、本票形式提交，投标人应在递交投标文件截止时间之前，将投标保证金由投标人的基本账户转入招标人指定账户；</w:t>
            </w:r>
          </w:p>
          <w:p>
            <w:pPr>
              <w:snapToGrid w:val="0"/>
              <w:spacing w:line="264" w:lineRule="auto"/>
              <w:ind w:firstLine="289" w:firstLineChars="138"/>
              <w:jc w:val="left"/>
              <w:rPr>
                <w:rFonts w:asciiTheme="minorEastAsia" w:hAnsiTheme="minorEastAsia" w:eastAsiaTheme="minorEastAsia"/>
                <w:szCs w:val="21"/>
              </w:rPr>
            </w:pPr>
            <w:r>
              <w:rPr>
                <w:rFonts w:hint="eastAsia" w:asciiTheme="minorEastAsia" w:hAnsiTheme="minorEastAsia" w:eastAsiaTheme="minorEastAsia"/>
                <w:szCs w:val="21"/>
              </w:rPr>
              <w:t>c.若投标保证金采用银行保函形式提交，银行保函的格式、开具保函的银行均满足招标文件要求。</w:t>
            </w:r>
          </w:p>
          <w:p>
            <w:pPr>
              <w:snapToGrid w:val="0"/>
              <w:spacing w:line="264" w:lineRule="auto"/>
              <w:ind w:firstLine="289" w:firstLineChars="138"/>
              <w:jc w:val="left"/>
              <w:rPr>
                <w:rFonts w:asciiTheme="minorEastAsia" w:hAnsiTheme="minorEastAsia" w:eastAsiaTheme="minorEastAsia"/>
                <w:szCs w:val="21"/>
              </w:rPr>
            </w:pPr>
            <w:r>
              <w:rPr>
                <w:rFonts w:hint="eastAsia" w:asciiTheme="minorEastAsia" w:hAnsiTheme="minorEastAsia" w:eastAsiaTheme="minorEastAsia"/>
                <w:szCs w:val="21"/>
              </w:rPr>
              <w:t>d</w:t>
            </w:r>
            <w:r>
              <w:rPr>
                <w:rFonts w:asciiTheme="minorEastAsia" w:hAnsiTheme="minorEastAsia" w:eastAsiaTheme="minorEastAsia"/>
                <w:szCs w:val="21"/>
              </w:rPr>
              <w:t>.</w:t>
            </w:r>
            <w:r>
              <w:rPr>
                <w:rFonts w:hint="eastAsia" w:asciiTheme="minorEastAsia" w:hAnsiTheme="minorEastAsia" w:eastAsiaTheme="minorEastAsia"/>
                <w:szCs w:val="21"/>
              </w:rPr>
              <w:t>若投标保证金采用保证保险保函形式提交，应通过投标人的基本账户购买。</w:t>
            </w:r>
          </w:p>
          <w:p>
            <w:pPr>
              <w:pStyle w:val="5"/>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e.若采用投标保证金承诺书形式，承诺书应满足招标文件要求。</w:t>
            </w:r>
          </w:p>
          <w:p>
            <w:pPr>
              <w:snapToGrid w:val="0"/>
              <w:spacing w:line="264"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）投标人法定代表人授权委托代理人签署投标文件的，须提交授权委托书；符合招标文件规定。</w:t>
            </w:r>
          </w:p>
          <w:p>
            <w:pPr>
              <w:snapToGrid w:val="0"/>
              <w:spacing w:line="264" w:lineRule="auto"/>
              <w:rPr>
                <w:rFonts w:asciiTheme="minorEastAsia" w:hAnsiTheme="minorEastAsia" w:eastAsiaTheme="minorEastAsia"/>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5</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投标人法定代表人若亲自签署投标文件的，提供了法定代表人身份证明；符合招标文件规定。</w:t>
            </w:r>
          </w:p>
          <w:p>
            <w:pPr>
              <w:snapToGrid w:val="0"/>
              <w:spacing w:line="264" w:lineRule="auto"/>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6</w:t>
            </w:r>
            <w:r>
              <w:rPr>
                <w:rFonts w:hint="eastAsia" w:cs="宋体" w:asciiTheme="minorEastAsia" w:hAnsiTheme="minorEastAsia" w:eastAsiaTheme="minorEastAsia"/>
                <w:kern w:val="0"/>
                <w:szCs w:val="21"/>
              </w:rPr>
              <w:t>）投标人未以联合体形式投标。</w:t>
            </w:r>
          </w:p>
          <w:p>
            <w:pPr>
              <w:snapToGrid w:val="0"/>
              <w:spacing w:line="264" w:lineRule="auto"/>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7</w:t>
            </w:r>
            <w:r>
              <w:rPr>
                <w:rFonts w:hint="eastAsia" w:cs="宋体" w:asciiTheme="minorEastAsia" w:hAnsiTheme="minorEastAsia" w:eastAsiaTheme="minorEastAsia"/>
                <w:kern w:val="0"/>
                <w:szCs w:val="21"/>
              </w:rPr>
              <w:t>）投标人未对本项目提出分包计划。</w:t>
            </w:r>
          </w:p>
          <w:p>
            <w:pPr>
              <w:snapToGrid w:val="0"/>
              <w:spacing w:line="264" w:lineRule="auto"/>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8</w:t>
            </w:r>
            <w:r>
              <w:rPr>
                <w:rFonts w:hint="eastAsia" w:cs="宋体" w:asciiTheme="minorEastAsia" w:hAnsiTheme="minorEastAsia" w:eastAsiaTheme="minorEastAsia"/>
                <w:kern w:val="0"/>
                <w:szCs w:val="21"/>
              </w:rPr>
              <w:t>）同一投标人未对本项目提交两个以上不同的投标文件。</w:t>
            </w:r>
          </w:p>
          <w:p>
            <w:pPr>
              <w:snapToGrid w:val="0"/>
              <w:spacing w:line="264" w:lineRule="auto"/>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9</w:t>
            </w:r>
            <w:r>
              <w:rPr>
                <w:rFonts w:hint="eastAsia" w:cs="宋体" w:asciiTheme="minorEastAsia" w:hAnsiTheme="minorEastAsia" w:eastAsiaTheme="minorEastAsia"/>
                <w:kern w:val="0"/>
                <w:szCs w:val="21"/>
              </w:rPr>
              <w:t>）投标文件中未出现有关投标报价的内容。</w:t>
            </w:r>
          </w:p>
          <w:p>
            <w:pPr>
              <w:snapToGrid w:val="0"/>
              <w:spacing w:line="264" w:lineRule="auto"/>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10</w:t>
            </w:r>
            <w:r>
              <w:rPr>
                <w:rFonts w:hint="eastAsia" w:cs="宋体" w:asciiTheme="minorEastAsia" w:hAnsiTheme="minorEastAsia" w:eastAsiaTheme="minorEastAsia"/>
                <w:kern w:val="0"/>
                <w:szCs w:val="21"/>
              </w:rPr>
              <w:t>）投标文件载明的招标项目服务期限符合招标文件规定。</w:t>
            </w:r>
          </w:p>
          <w:p>
            <w:pPr>
              <w:snapToGrid w:val="0"/>
              <w:spacing w:line="264" w:lineRule="auto"/>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）投标文件对招标文件的实质性要求和条件作出响应。</w:t>
            </w:r>
          </w:p>
          <w:p>
            <w:pPr>
              <w:snapToGrid w:val="0"/>
              <w:spacing w:line="264" w:lineRule="auto"/>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12</w:t>
            </w:r>
            <w:r>
              <w:rPr>
                <w:rFonts w:hint="eastAsia" w:cs="宋体" w:asciiTheme="minorEastAsia" w:hAnsiTheme="minorEastAsia" w:eastAsiaTheme="minorEastAsia"/>
                <w:kern w:val="0"/>
                <w:szCs w:val="21"/>
              </w:rPr>
              <w:t>）权利义务符合招标文件规定：</w:t>
            </w:r>
          </w:p>
          <w:p>
            <w:pPr>
              <w:snapToGrid w:val="0"/>
              <w:spacing w:line="264" w:lineRule="auto"/>
              <w:ind w:firstLine="256" w:firstLineChars="122"/>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a.投标人应接受招标文件规定的风险划分原则，未提出新的风险划分办法；</w:t>
            </w:r>
          </w:p>
          <w:p>
            <w:pPr>
              <w:snapToGrid w:val="0"/>
              <w:spacing w:line="264" w:lineRule="auto"/>
              <w:ind w:firstLine="256" w:firstLineChars="122"/>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b.投标人未增加发包人的责任范围，或减少投标人义务；</w:t>
            </w:r>
          </w:p>
          <w:p>
            <w:pPr>
              <w:snapToGrid w:val="0"/>
              <w:spacing w:line="264" w:lineRule="auto"/>
              <w:ind w:firstLine="256" w:firstLineChars="122"/>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c.投标人未提出不同的支付办法；</w:t>
            </w:r>
          </w:p>
          <w:p>
            <w:pPr>
              <w:snapToGrid w:val="0"/>
              <w:spacing w:line="264" w:lineRule="auto"/>
              <w:ind w:firstLine="256" w:firstLineChars="122"/>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d.投标人对合同纠纷、事故处理办法未提出异议；</w:t>
            </w:r>
          </w:p>
          <w:p>
            <w:pPr>
              <w:snapToGrid w:val="0"/>
              <w:spacing w:line="264" w:lineRule="auto"/>
              <w:ind w:firstLine="256" w:firstLineChars="122"/>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e.投标人在投标活动中无欺诈行为；</w:t>
            </w:r>
          </w:p>
          <w:p>
            <w:pPr>
              <w:snapToGrid w:val="0"/>
              <w:spacing w:line="264" w:lineRule="auto"/>
              <w:ind w:firstLine="256" w:firstLineChars="122"/>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f.投标人未对合同条款有重要保留。 </w:t>
            </w:r>
          </w:p>
          <w:p>
            <w:pPr>
              <w:snapToGrid w:val="0"/>
              <w:spacing w:line="264" w:lineRule="auto"/>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第二个信封（报价文件）评审标准：</w:t>
            </w:r>
          </w:p>
          <w:p>
            <w:pPr>
              <w:snapToGrid w:val="0"/>
              <w:spacing w:line="264" w:lineRule="auto"/>
              <w:jc w:val="left"/>
              <w:textAlignment w:val="baseline"/>
              <w:rPr>
                <w:rFonts w:asciiTheme="minorEastAsia" w:hAnsiTheme="minorEastAsia" w:eastAsiaTheme="minorEastAsia"/>
                <w:bCs/>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w:t>
            </w:r>
            <w:r>
              <w:rPr>
                <w:rFonts w:hint="eastAsia" w:asciiTheme="minorEastAsia" w:hAnsiTheme="minorEastAsia" w:eastAsiaTheme="minorEastAsia"/>
                <w:bCs/>
                <w:szCs w:val="21"/>
              </w:rPr>
              <w:t>投标文件按照招标文件规定的格式、内容填写，字迹清晰可辨。</w:t>
            </w:r>
          </w:p>
          <w:p>
            <w:pPr>
              <w:snapToGrid w:val="0"/>
              <w:spacing w:line="264" w:lineRule="auto"/>
              <w:ind w:firstLine="256" w:firstLineChars="122"/>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a．投标函按招标文件规定填报了项目名称、标段号、补遗书编号（如有）</w:t>
            </w:r>
            <w:r>
              <w:rPr>
                <w:rFonts w:hint="eastAsia" w:asciiTheme="minorEastAsia" w:hAnsiTheme="minorEastAsia" w:eastAsiaTheme="minorEastAsia"/>
                <w:szCs w:val="21"/>
              </w:rPr>
              <w:t>、</w:t>
            </w:r>
            <w:r>
              <w:rPr>
                <w:rFonts w:hint="eastAsia" w:asciiTheme="minorEastAsia" w:hAnsiTheme="minorEastAsia" w:eastAsiaTheme="minorEastAsia"/>
                <w:bCs/>
                <w:szCs w:val="21"/>
              </w:rPr>
              <w:t>投标总报价（包括大写金额和小写金额）等；</w:t>
            </w:r>
          </w:p>
          <w:p>
            <w:pPr>
              <w:snapToGrid w:val="0"/>
              <w:spacing w:line="264" w:lineRule="auto"/>
              <w:ind w:firstLine="256" w:firstLineChars="122"/>
              <w:textAlignment w:val="baseline"/>
              <w:rPr>
                <w:rFonts w:asciiTheme="minorEastAsia" w:hAnsiTheme="minorEastAsia" w:eastAsiaTheme="minorEastAsia"/>
                <w:bCs/>
                <w:szCs w:val="21"/>
              </w:rPr>
            </w:pPr>
            <w:r>
              <w:rPr>
                <w:rFonts w:hint="eastAsia" w:asciiTheme="minorEastAsia" w:hAnsiTheme="minorEastAsia" w:eastAsiaTheme="minorEastAsia"/>
                <w:bCs/>
                <w:szCs w:val="21"/>
              </w:rPr>
              <w:t>b．报价清单说明文字与招标文件规定一致，未进行实质性修改和删减；</w:t>
            </w:r>
          </w:p>
          <w:p>
            <w:pPr>
              <w:snapToGrid w:val="0"/>
              <w:spacing w:line="264" w:lineRule="auto"/>
              <w:ind w:firstLine="256" w:firstLineChars="122"/>
              <w:textAlignment w:val="baseline"/>
              <w:rPr>
                <w:rFonts w:asciiTheme="minorEastAsia" w:hAnsiTheme="minorEastAsia" w:eastAsiaTheme="minorEastAsia"/>
                <w:bCs/>
                <w:szCs w:val="21"/>
              </w:rPr>
            </w:pPr>
            <w:r>
              <w:rPr>
                <w:rFonts w:asciiTheme="minorEastAsia" w:hAnsiTheme="minorEastAsia" w:eastAsiaTheme="minorEastAsia"/>
                <w:bCs/>
                <w:szCs w:val="21"/>
              </w:rPr>
              <w:t>c.</w:t>
            </w:r>
            <w:r>
              <w:rPr>
                <w:rFonts w:hint="eastAsia" w:asciiTheme="minorEastAsia" w:hAnsiTheme="minorEastAsia" w:eastAsiaTheme="minorEastAsia"/>
                <w:bCs/>
                <w:szCs w:val="21"/>
              </w:rPr>
              <w:t>投标文件组成齐全完整，内容均按规定填写；</w:t>
            </w:r>
          </w:p>
          <w:p>
            <w:pPr>
              <w:pStyle w:val="3"/>
              <w:ind w:firstLine="210" w:firstLineChars="100"/>
              <w:rPr>
                <w:rFonts w:eastAsiaTheme="minorEastAsia"/>
              </w:rPr>
            </w:pPr>
            <w:r>
              <w:rPr>
                <w:rFonts w:hint="eastAsia" w:asciiTheme="minorEastAsia" w:hAnsiTheme="minorEastAsia" w:eastAsiaTheme="minorEastAsia"/>
                <w:szCs w:val="21"/>
              </w:rPr>
              <w:t>d.投标人递交的投标文件与标段相对应。</w:t>
            </w:r>
          </w:p>
          <w:p>
            <w:pPr>
              <w:snapToGrid w:val="0"/>
              <w:spacing w:line="264" w:lineRule="auto"/>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投标文件上法定代表人或其授权代理人的签字、投标人的单位章盖章齐全，符合招标文件规定。</w:t>
            </w:r>
          </w:p>
          <w:p>
            <w:pPr>
              <w:snapToGrid w:val="0"/>
              <w:spacing w:line="264" w:lineRule="auto"/>
              <w:jc w:val="left"/>
              <w:textAlignment w:val="baseline"/>
              <w:rPr>
                <w:rFonts w:cs="宋体" w:asciiTheme="minorEastAsia" w:hAnsiTheme="minorEastAsia" w:eastAsiaTheme="minorEastAsia"/>
                <w:kern w:val="0"/>
                <w:szCs w:val="21"/>
              </w:rPr>
            </w:pPr>
            <w:r>
              <w:rPr>
                <w:rFonts w:hint="eastAsia" w:asciiTheme="minorEastAsia" w:hAnsiTheme="minorEastAsia" w:eastAsiaTheme="minorEastAsia"/>
                <w:bCs/>
                <w:szCs w:val="21"/>
              </w:rPr>
              <w:t>（3）</w:t>
            </w:r>
            <w:r>
              <w:rPr>
                <w:rFonts w:hint="eastAsia" w:cs="宋体" w:asciiTheme="minorEastAsia" w:hAnsiTheme="minorEastAsia" w:eastAsiaTheme="minorEastAsia"/>
                <w:kern w:val="0"/>
                <w:szCs w:val="21"/>
              </w:rPr>
              <w:t>投标报价未超过招标文件设定的最高投标限价。</w:t>
            </w:r>
          </w:p>
          <w:p>
            <w:pPr>
              <w:snapToGrid w:val="0"/>
              <w:spacing w:line="264" w:lineRule="auto"/>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（4）投标报价的大写金额能够确定具体数值。</w:t>
            </w:r>
          </w:p>
          <w:p>
            <w:pPr>
              <w:snapToGrid w:val="0"/>
              <w:spacing w:line="264" w:lineRule="auto"/>
              <w:jc w:val="left"/>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（5）同一投标人未对本项目提交两个以上不同的投标报价。</w:t>
            </w:r>
          </w:p>
          <w:p>
            <w:pPr>
              <w:snapToGrid w:val="0"/>
              <w:spacing w:line="264" w:lineRule="auto"/>
              <w:jc w:val="left"/>
              <w:textAlignment w:val="baseline"/>
              <w:rPr>
                <w:rFonts w:asciiTheme="minorEastAsia" w:hAnsiTheme="minorEastAsia" w:eastAsiaTheme="minorEastAsia"/>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6）投标报价中</w:t>
            </w:r>
            <w:bookmarkStart w:id="2" w:name="_Hlk111814599"/>
            <w:r>
              <w:rPr>
                <w:rFonts w:hint="eastAsia" w:cs="宋体" w:asciiTheme="minorEastAsia" w:hAnsiTheme="minorEastAsia" w:eastAsiaTheme="minorEastAsia"/>
                <w:kern w:val="0"/>
                <w:szCs w:val="21"/>
              </w:rPr>
              <w:t>交工验收及缺陷责任期阶段监理服务费</w:t>
            </w:r>
            <w:bookmarkEnd w:id="2"/>
            <w:r>
              <w:rPr>
                <w:rFonts w:hint="eastAsia" w:cs="宋体" w:asciiTheme="minorEastAsia" w:hAnsiTheme="minorEastAsia" w:eastAsiaTheme="minorEastAsia"/>
                <w:kern w:val="0"/>
                <w:szCs w:val="21"/>
              </w:rPr>
              <w:t>报价不低于监理服务总费用的</w:t>
            </w:r>
            <w:r>
              <w:rPr>
                <w:rFonts w:cs="宋体" w:asciiTheme="minorEastAsia" w:hAnsiTheme="minorEastAsia" w:eastAsiaTheme="minorEastAsia"/>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2.1.2</w:t>
            </w:r>
          </w:p>
        </w:tc>
        <w:tc>
          <w:tcPr>
            <w:tcW w:w="122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资格评审标准</w:t>
            </w:r>
          </w:p>
        </w:tc>
        <w:tc>
          <w:tcPr>
            <w:tcW w:w="7008" w:type="dxa"/>
            <w:tcBorders>
              <w:top w:val="single" w:color="auto" w:sz="4" w:space="0"/>
              <w:left w:val="single" w:color="auto" w:sz="4" w:space="0"/>
              <w:bottom w:val="single" w:color="auto" w:sz="4" w:space="0"/>
              <w:right w:val="single" w:color="auto" w:sz="4" w:space="0"/>
            </w:tcBorders>
            <w:vAlign w:val="center"/>
          </w:tcPr>
          <w:p>
            <w:pPr>
              <w:textAlignment w:val="baseline"/>
              <w:rPr>
                <w:rFonts w:asciiTheme="minorEastAsia" w:hAnsiTheme="minorEastAsia" w:eastAsiaTheme="minorEastAsia"/>
                <w:sz w:val="20"/>
              </w:rPr>
            </w:pPr>
            <w:r>
              <w:rPr>
                <w:rFonts w:hint="eastAsia" w:asciiTheme="minorEastAsia" w:hAnsiTheme="minorEastAsia" w:eastAsiaTheme="minorEastAsia"/>
              </w:rPr>
              <w:t>（1）投标人具备有效的营业执照、组织机构代码证（三证合一或五证合一的除外）、监理资质证书和</w:t>
            </w:r>
            <w:r>
              <w:rPr>
                <w:rFonts w:hint="eastAsia" w:cs="宋体" w:asciiTheme="minorEastAsia" w:hAnsiTheme="minorEastAsia" w:eastAsiaTheme="minorEastAsia"/>
                <w:szCs w:val="21"/>
              </w:rPr>
              <w:t>基本账户开户许可证（或基本存款账户信息）</w:t>
            </w:r>
            <w:r>
              <w:rPr>
                <w:rFonts w:hint="eastAsia" w:asciiTheme="minorEastAsia" w:hAnsiTheme="minorEastAsia" w:eastAsiaTheme="minorEastAsia"/>
              </w:rPr>
              <w:t>；</w:t>
            </w:r>
          </w:p>
          <w:p>
            <w:pPr>
              <w:textAlignment w:val="baseline"/>
              <w:rPr>
                <w:rFonts w:asciiTheme="minorEastAsia" w:hAnsiTheme="minorEastAsia" w:eastAsiaTheme="minorEastAsia"/>
                <w:sz w:val="20"/>
              </w:rPr>
            </w:pPr>
            <w:r>
              <w:rPr>
                <w:rFonts w:hint="eastAsia" w:asciiTheme="minorEastAsia" w:hAnsiTheme="minorEastAsia" w:eastAsiaTheme="minorEastAsia"/>
              </w:rPr>
              <w:t>（2）投标人的资质等级符合招标文件规定。</w:t>
            </w:r>
          </w:p>
          <w:p>
            <w:pPr>
              <w:textAlignment w:val="baseline"/>
              <w:rPr>
                <w:rFonts w:asciiTheme="minorEastAsia" w:hAnsiTheme="minorEastAsia" w:eastAsiaTheme="minorEastAsia"/>
                <w:sz w:val="20"/>
              </w:rPr>
            </w:pPr>
            <w:r>
              <w:rPr>
                <w:rFonts w:hint="eastAsia" w:asciiTheme="minorEastAsia" w:hAnsiTheme="minorEastAsia" w:eastAsiaTheme="minorEastAsia"/>
              </w:rPr>
              <w:t>（3）投标人的类似项目业绩符合招标文件的规定。</w:t>
            </w:r>
          </w:p>
          <w:p>
            <w:pPr>
              <w:textAlignment w:val="baseline"/>
              <w:rPr>
                <w:rFonts w:asciiTheme="minorEastAsia" w:hAnsiTheme="minorEastAsia" w:eastAsiaTheme="minorEastAsia"/>
                <w:sz w:val="20"/>
              </w:rPr>
            </w:pPr>
            <w:r>
              <w:rPr>
                <w:rFonts w:hint="eastAsia" w:asciiTheme="minorEastAsia" w:hAnsiTheme="minorEastAsia" w:eastAsiaTheme="minorEastAsia"/>
              </w:rPr>
              <w:t>（4）投标人的信誉符合招标文件规定。</w:t>
            </w:r>
          </w:p>
          <w:p>
            <w:pPr>
              <w:textAlignment w:val="baseline"/>
              <w:rPr>
                <w:rFonts w:asciiTheme="minorEastAsia" w:hAnsiTheme="minorEastAsia" w:eastAsiaTheme="minorEastAsia"/>
                <w:sz w:val="20"/>
              </w:rPr>
            </w:pPr>
            <w:r>
              <w:rPr>
                <w:rFonts w:hint="eastAsia" w:asciiTheme="minorEastAsia" w:hAnsiTheme="minorEastAsia" w:eastAsiaTheme="minorEastAsia"/>
              </w:rPr>
              <w:t>（5）投标人的总监理工程师资格符合招标文件规定。</w:t>
            </w:r>
          </w:p>
          <w:p>
            <w:pPr>
              <w:textAlignment w:val="baseline"/>
              <w:rPr>
                <w:rFonts w:asciiTheme="minorEastAsia" w:hAnsiTheme="minorEastAsia" w:eastAsiaTheme="minorEastAsia"/>
                <w:sz w:val="20"/>
              </w:rPr>
            </w:pPr>
            <w:r>
              <w:rPr>
                <w:rFonts w:hint="eastAsia" w:asciiTheme="minorEastAsia" w:hAnsiTheme="minorEastAsia" w:eastAsiaTheme="minorEastAsia"/>
              </w:rPr>
              <w:t>（6）投标人不存在第二章“投标人须知”第1.4.3项或1.4.4项规定的任何一种情形。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2.2.1</w:t>
            </w:r>
          </w:p>
        </w:tc>
        <w:tc>
          <w:tcPr>
            <w:tcW w:w="122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分值构成</w:t>
            </w:r>
          </w:p>
        </w:tc>
        <w:tc>
          <w:tcPr>
            <w:tcW w:w="7008" w:type="dxa"/>
            <w:tcBorders>
              <w:top w:val="single" w:color="auto" w:sz="4" w:space="0"/>
              <w:left w:val="single" w:color="auto" w:sz="4" w:space="0"/>
              <w:bottom w:val="single" w:color="auto" w:sz="4" w:space="0"/>
              <w:right w:val="single" w:color="auto" w:sz="4" w:space="0"/>
            </w:tcBorders>
            <w:vAlign w:val="center"/>
          </w:tcPr>
          <w:p>
            <w:pPr>
              <w:ind w:left="107"/>
              <w:jc w:val="left"/>
              <w:textAlignment w:val="baseline"/>
              <w:rPr>
                <w:rFonts w:asciiTheme="minorEastAsia" w:hAnsiTheme="minorEastAsia" w:eastAsiaTheme="minorEastAsia"/>
                <w:b/>
                <w:kern w:val="0"/>
                <w:sz w:val="20"/>
                <w:szCs w:val="21"/>
              </w:rPr>
            </w:pPr>
            <w:r>
              <w:rPr>
                <w:rFonts w:hint="eastAsia" w:asciiTheme="minorEastAsia" w:hAnsiTheme="minorEastAsia" w:eastAsiaTheme="minorEastAsia"/>
                <w:b/>
                <w:kern w:val="0"/>
                <w:szCs w:val="21"/>
              </w:rPr>
              <w:t>第一信封（商务及技术文件）评分分值构成：</w:t>
            </w:r>
          </w:p>
          <w:p>
            <w:pPr>
              <w:ind w:left="107"/>
              <w:jc w:val="left"/>
              <w:textAlignment w:val="baseline"/>
              <w:rPr>
                <w:rFonts w:cs="宋?" w:asciiTheme="minorEastAsia" w:hAnsiTheme="minorEastAsia" w:eastAsiaTheme="minorEastAsia"/>
                <w:kern w:val="0"/>
                <w:sz w:val="20"/>
                <w:szCs w:val="21"/>
              </w:rPr>
            </w:pPr>
            <w:r>
              <w:rPr>
                <w:rFonts w:hint="eastAsia" w:cs="宋?" w:asciiTheme="minorEastAsia" w:hAnsiTheme="minorEastAsia" w:eastAsiaTheme="minorEastAsia"/>
                <w:kern w:val="0"/>
                <w:szCs w:val="21"/>
              </w:rPr>
              <w:t>技术建议书：</w:t>
            </w:r>
            <w:r>
              <w:rPr>
                <w:rFonts w:cs="宋?" w:asciiTheme="minorEastAsia" w:hAnsiTheme="minorEastAsia" w:eastAsiaTheme="minorEastAsia"/>
                <w:kern w:val="0"/>
                <w:szCs w:val="21"/>
              </w:rPr>
              <w:t>35</w:t>
            </w:r>
            <w:r>
              <w:rPr>
                <w:rFonts w:hint="eastAsia" w:cs="宋?" w:asciiTheme="minorEastAsia" w:hAnsiTheme="minorEastAsia" w:eastAsiaTheme="minorEastAsia"/>
                <w:kern w:val="0"/>
                <w:szCs w:val="21"/>
              </w:rPr>
              <w:t>分</w:t>
            </w:r>
          </w:p>
          <w:p>
            <w:pPr>
              <w:ind w:left="107"/>
              <w:jc w:val="left"/>
              <w:textAlignment w:val="baseline"/>
              <w:rPr>
                <w:rFonts w:asciiTheme="minorEastAsia" w:hAnsiTheme="minorEastAsia" w:eastAsiaTheme="minorEastAsia"/>
                <w:kern w:val="0"/>
                <w:sz w:val="20"/>
                <w:szCs w:val="21"/>
              </w:rPr>
            </w:pPr>
            <w:r>
              <w:rPr>
                <w:rFonts w:hint="eastAsia" w:asciiTheme="minorEastAsia" w:hAnsiTheme="minorEastAsia" w:eastAsiaTheme="minorEastAsia"/>
                <w:kern w:val="0"/>
                <w:szCs w:val="21"/>
              </w:rPr>
              <w:t>主要人员：</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分</w:t>
            </w:r>
          </w:p>
          <w:p>
            <w:pPr>
              <w:ind w:left="107"/>
              <w:jc w:val="left"/>
              <w:textAlignment w:val="baseline"/>
              <w:rPr>
                <w:rFonts w:asciiTheme="minorEastAsia" w:hAnsiTheme="minorEastAsia" w:eastAsiaTheme="minorEastAsia"/>
                <w:kern w:val="0"/>
                <w:sz w:val="20"/>
                <w:szCs w:val="21"/>
              </w:rPr>
            </w:pPr>
            <w:r>
              <w:rPr>
                <w:rFonts w:hint="eastAsia" w:asciiTheme="minorEastAsia" w:hAnsiTheme="minorEastAsia" w:eastAsiaTheme="minorEastAsia"/>
                <w:kern w:val="0"/>
                <w:szCs w:val="21"/>
              </w:rPr>
              <w:t>业    绩：</w:t>
            </w:r>
            <w:r>
              <w:rPr>
                <w:rFonts w:asciiTheme="minorEastAsia" w:hAnsiTheme="minorEastAsia" w:eastAsiaTheme="minorEastAsia"/>
                <w:kern w:val="0"/>
                <w:szCs w:val="21"/>
              </w:rPr>
              <w:t>25</w:t>
            </w:r>
            <w:r>
              <w:rPr>
                <w:rFonts w:hint="eastAsia" w:asciiTheme="minorEastAsia" w:hAnsiTheme="minorEastAsia" w:eastAsiaTheme="minorEastAsia"/>
                <w:kern w:val="0"/>
                <w:szCs w:val="21"/>
              </w:rPr>
              <w:t>分</w:t>
            </w:r>
          </w:p>
          <w:p>
            <w:pPr>
              <w:ind w:left="107"/>
              <w:jc w:val="left"/>
              <w:textAlignment w:val="baseline"/>
              <w:rPr>
                <w:rFonts w:asciiTheme="minorEastAsia" w:hAnsiTheme="minorEastAsia" w:eastAsiaTheme="minorEastAsia"/>
                <w:b/>
                <w:kern w:val="0"/>
                <w:sz w:val="20"/>
                <w:szCs w:val="21"/>
              </w:rPr>
            </w:pPr>
            <w:r>
              <w:rPr>
                <w:rFonts w:hint="eastAsia" w:asciiTheme="minorEastAsia" w:hAnsiTheme="minorEastAsia" w:eastAsiaTheme="minorEastAsia"/>
                <w:b/>
                <w:kern w:val="0"/>
                <w:szCs w:val="21"/>
              </w:rPr>
              <w:t>第二信封（报价文件）评分分值构成：</w:t>
            </w:r>
          </w:p>
          <w:p>
            <w:pPr>
              <w:ind w:left="107"/>
              <w:jc w:val="left"/>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ind w:right="113"/>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2.2.2</w:t>
            </w:r>
          </w:p>
        </w:tc>
        <w:tc>
          <w:tcPr>
            <w:tcW w:w="1229" w:type="dxa"/>
            <w:tcBorders>
              <w:top w:val="single" w:color="auto" w:sz="4" w:space="0"/>
              <w:left w:val="single" w:color="auto" w:sz="4" w:space="0"/>
              <w:bottom w:val="single" w:color="auto" w:sz="4" w:space="0"/>
              <w:right w:val="single" w:color="auto" w:sz="4" w:space="0"/>
            </w:tcBorders>
            <w:vAlign w:val="center"/>
          </w:tcPr>
          <w:p>
            <w:pPr>
              <w:ind w:left="2"/>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评标基准价计算方法</w:t>
            </w:r>
          </w:p>
        </w:tc>
        <w:tc>
          <w:tcPr>
            <w:tcW w:w="7008" w:type="dxa"/>
            <w:tcBorders>
              <w:top w:val="single" w:color="auto" w:sz="4" w:space="0"/>
              <w:left w:val="single" w:color="auto" w:sz="4" w:space="0"/>
              <w:bottom w:val="single" w:color="auto" w:sz="4" w:space="0"/>
              <w:right w:val="single" w:color="auto" w:sz="4" w:space="0"/>
            </w:tcBorders>
            <w:vAlign w:val="center"/>
          </w:tcPr>
          <w:p>
            <w:pPr>
              <w:textAlignment w:val="baseline"/>
              <w:rPr>
                <w:rFonts w:asciiTheme="minorEastAsia" w:hAnsiTheme="minorEastAsia" w:eastAsiaTheme="minorEastAsia"/>
                <w:sz w:val="20"/>
              </w:rPr>
            </w:pPr>
            <w:r>
              <w:rPr>
                <w:rFonts w:hint="eastAsia" w:asciiTheme="minorEastAsia" w:hAnsiTheme="minorEastAsia" w:eastAsiaTheme="minorEastAsia"/>
              </w:rPr>
              <w:t xml:space="preserve">评标基准价的计算： </w:t>
            </w:r>
          </w:p>
          <w:p>
            <w:pPr>
              <w:ind w:firstLine="420" w:firstLineChars="200"/>
              <w:textAlignment w:val="baseline"/>
              <w:rPr>
                <w:rFonts w:asciiTheme="minorEastAsia" w:hAnsiTheme="minorEastAsia" w:eastAsiaTheme="minorEastAsia"/>
                <w:sz w:val="20"/>
              </w:rPr>
            </w:pPr>
            <w:r>
              <w:rPr>
                <w:rFonts w:hint="eastAsia" w:asciiTheme="minorEastAsia" w:hAnsiTheme="minorEastAsia" w:eastAsiaTheme="minorEastAsia"/>
              </w:rPr>
              <w:t>所有通过第一个信封评审的投标文件，由招标人开启第二个信封，并当场计算并宣布评标基准价。</w:t>
            </w:r>
          </w:p>
          <w:p>
            <w:pPr>
              <w:ind w:firstLine="420" w:firstLineChars="200"/>
              <w:textAlignment w:val="baseline"/>
              <w:rPr>
                <w:rFonts w:asciiTheme="minorEastAsia" w:hAnsiTheme="minorEastAsia" w:eastAsiaTheme="minorEastAsia"/>
                <w:sz w:val="20"/>
              </w:rPr>
            </w:pPr>
            <w:r>
              <w:rPr>
                <w:rFonts w:hint="eastAsia" w:asciiTheme="minorEastAsia" w:hAnsiTheme="minorEastAsia" w:eastAsiaTheme="minorEastAsia"/>
              </w:rPr>
              <w:t>(1)评标价的确定：</w:t>
            </w:r>
          </w:p>
          <w:p>
            <w:pPr>
              <w:ind w:firstLine="420" w:firstLineChars="200"/>
              <w:textAlignment w:val="baseline"/>
              <w:rPr>
                <w:rFonts w:asciiTheme="minorEastAsia" w:hAnsiTheme="minorEastAsia" w:eastAsiaTheme="minorEastAsia"/>
                <w:sz w:val="20"/>
              </w:rPr>
            </w:pPr>
            <w:r>
              <w:rPr>
                <w:rFonts w:hint="eastAsia" w:asciiTheme="minorEastAsia" w:hAnsiTheme="minorEastAsia" w:eastAsiaTheme="minorEastAsia"/>
              </w:rPr>
              <w:t>评标价=投标函文字报价</w:t>
            </w:r>
          </w:p>
          <w:p>
            <w:pPr>
              <w:ind w:firstLine="420" w:firstLineChars="200"/>
              <w:textAlignment w:val="baseline"/>
              <w:rPr>
                <w:rFonts w:asciiTheme="minorEastAsia" w:hAnsiTheme="minorEastAsia" w:eastAsiaTheme="minorEastAsia"/>
                <w:sz w:val="20"/>
              </w:rPr>
            </w:pPr>
            <w:r>
              <w:rPr>
                <w:rFonts w:hint="eastAsia" w:asciiTheme="minorEastAsia" w:hAnsiTheme="minorEastAsia" w:eastAsiaTheme="minorEastAsia"/>
              </w:rPr>
              <w:t>(2)评标价平均值的计算：</w:t>
            </w: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ind w:left="113" w:right="113" w:firstLine="210" w:firstLineChars="100"/>
              <w:rPr>
                <w:rFonts w:asciiTheme="minorEastAsia" w:hAnsiTheme="minorEastAsia" w:eastAsiaTheme="minorEastAsia"/>
                <w:szCs w:val="21"/>
              </w:rPr>
            </w:pPr>
            <w:r>
              <w:rPr>
                <w:rFonts w:hint="eastAsia" w:asciiTheme="minorEastAsia" w:hAnsiTheme="minorEastAsia" w:eastAsiaTheme="minorEastAsia"/>
                <w:szCs w:val="21"/>
              </w:rPr>
              <w:t>(3)评标基准价的确定：</w:t>
            </w:r>
          </w:p>
          <w:p>
            <w:pPr>
              <w:ind w:right="113" w:firstLine="321" w:firstLineChars="153"/>
              <w:rPr>
                <w:rFonts w:asciiTheme="minorEastAsia" w:hAnsiTheme="minorEastAsia" w:eastAsiaTheme="minorEastAsia"/>
                <w:szCs w:val="21"/>
              </w:rPr>
            </w:pPr>
            <w:r>
              <w:rPr>
                <w:rFonts w:hint="eastAsia" w:asciiTheme="minorEastAsia" w:hAnsiTheme="minorEastAsia" w:eastAsiaTheme="minorEastAsia"/>
                <w:szCs w:val="21"/>
              </w:rPr>
              <w:t>将评标价平均值直接作为评标基准价（评标基准价保留两位小数，第三位四舍五入）。当所有投标价都高于招标人最高投标限价时，招标人将重新招标。</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ind w:right="113"/>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2.2.3</w:t>
            </w:r>
          </w:p>
        </w:tc>
        <w:tc>
          <w:tcPr>
            <w:tcW w:w="1229" w:type="dxa"/>
            <w:tcBorders>
              <w:top w:val="single" w:color="auto" w:sz="4" w:space="0"/>
              <w:left w:val="single" w:color="auto" w:sz="4" w:space="0"/>
              <w:bottom w:val="single" w:color="auto" w:sz="4" w:space="0"/>
              <w:right w:val="single" w:color="auto" w:sz="4" w:space="0"/>
            </w:tcBorders>
            <w:vAlign w:val="center"/>
          </w:tcPr>
          <w:p>
            <w:pPr>
              <w:ind w:left="-31" w:leftChars="-15"/>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评标价的偏差率计算公式</w:t>
            </w:r>
          </w:p>
        </w:tc>
        <w:tc>
          <w:tcPr>
            <w:tcW w:w="7008" w:type="dxa"/>
            <w:tcBorders>
              <w:top w:val="single" w:color="auto" w:sz="4" w:space="0"/>
              <w:left w:val="single" w:color="auto" w:sz="4" w:space="0"/>
              <w:bottom w:val="single" w:color="auto" w:sz="4" w:space="0"/>
              <w:right w:val="single" w:color="auto" w:sz="4" w:space="0"/>
            </w:tcBorders>
            <w:vAlign w:val="center"/>
          </w:tcPr>
          <w:p>
            <w:pPr>
              <w:spacing w:line="380" w:lineRule="exact"/>
              <w:ind w:right="113" w:firstLine="426" w:firstLineChars="203"/>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ind w:right="113"/>
              <w:jc w:val="center"/>
              <w:textAlignment w:val="baseline"/>
              <w:rPr>
                <w:rFonts w:asciiTheme="minorEastAsia" w:hAnsiTheme="minorEastAsia" w:eastAsiaTheme="minorEastAsia"/>
                <w:sz w:val="20"/>
                <w:szCs w:val="21"/>
              </w:rPr>
            </w:pPr>
            <w:r>
              <w:rPr>
                <w:rFonts w:hint="eastAsia" w:asciiTheme="minorEastAsia" w:hAnsiTheme="minorEastAsia" w:eastAsiaTheme="minorEastAsia"/>
                <w:szCs w:val="21"/>
              </w:rPr>
              <w:t>3.6.1</w:t>
            </w:r>
          </w:p>
        </w:tc>
        <w:tc>
          <w:tcPr>
            <w:tcW w:w="1229" w:type="dxa"/>
            <w:tcBorders>
              <w:top w:val="single" w:color="auto" w:sz="4" w:space="0"/>
              <w:left w:val="single" w:color="auto" w:sz="4" w:space="0"/>
              <w:bottom w:val="single" w:color="auto" w:sz="4" w:space="0"/>
              <w:right w:val="single" w:color="auto" w:sz="4" w:space="0"/>
            </w:tcBorders>
            <w:vAlign w:val="center"/>
          </w:tcPr>
          <w:p>
            <w:pPr>
              <w:ind w:left="-31" w:leftChars="-15"/>
              <w:textAlignment w:val="baseline"/>
              <w:rPr>
                <w:rFonts w:asciiTheme="minorEastAsia" w:hAnsiTheme="minorEastAsia" w:eastAsiaTheme="minorEastAsia"/>
                <w:sz w:val="20"/>
                <w:szCs w:val="21"/>
              </w:rPr>
            </w:pPr>
            <w:r>
              <w:rPr>
                <w:rFonts w:hint="eastAsia" w:asciiTheme="minorEastAsia" w:hAnsiTheme="minorEastAsia" w:eastAsiaTheme="minorEastAsia"/>
              </w:rPr>
              <w:t>投标文件相关信息的核查</w:t>
            </w:r>
          </w:p>
        </w:tc>
        <w:tc>
          <w:tcPr>
            <w:tcW w:w="70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Theme="minorEastAsia" w:hAnsiTheme="minorEastAsia" w:eastAsiaTheme="minorEastAsia"/>
              </w:rPr>
            </w:pPr>
            <w:r>
              <w:rPr>
                <w:rFonts w:hint="eastAsia" w:asciiTheme="minorEastAsia" w:hAnsiTheme="minorEastAsia" w:eastAsiaTheme="minorEastAsia"/>
              </w:rPr>
              <w:t>在评标过程中，评标委员会应对以下信息进行查询：</w:t>
            </w:r>
          </w:p>
          <w:p>
            <w:pPr>
              <w:autoSpaceDE w:val="0"/>
              <w:autoSpaceDN w:val="0"/>
              <w:spacing w:line="273"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信誉情况网页截图内容与在”国家企业信用信息公示系统”中严重违法失信名单（黑名单）（不含分公司）或在“信用中国”网站“中失信被执行人名单、异常经营名录、税收违法黑名单、政府采购严重违法失信行为记录名单的投标人（均不含分公司）的复核结果一致。</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前述内容如投标人未提供相关网页截图或所附截图与复核结果不一致，使得投标人的资格条件不符合招标文件规定的，评标委员会应否决其投标。</w:t>
            </w:r>
          </w:p>
          <w:p>
            <w:pPr>
              <w:autoSpaceDE w:val="0"/>
              <w:autoSpaceDN w:val="0"/>
              <w:spacing w:line="276" w:lineRule="auto"/>
              <w:ind w:firstLine="420" w:firstLineChars="200"/>
              <w:rPr>
                <w:rFonts w:asciiTheme="minorEastAsia" w:hAnsiTheme="minorEastAsia" w:eastAsiaTheme="minorEastAsia"/>
                <w:sz w:val="20"/>
                <w:szCs w:val="21"/>
              </w:rPr>
            </w:pPr>
            <w:r>
              <w:rPr>
                <w:rFonts w:hint="eastAsia" w:asciiTheme="minorEastAsia" w:hAnsiTheme="minorEastAsia" w:eastAsiaTheme="minorEastAsia"/>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tc>
      </w:tr>
    </w:tbl>
    <w:p>
      <w:pPr>
        <w:pStyle w:val="6"/>
        <w:spacing w:line="360" w:lineRule="auto"/>
        <w:rPr>
          <w:rFonts w:asciiTheme="minorEastAsia" w:hAnsiTheme="minorEastAsia" w:eastAsiaTheme="minorEastAsia"/>
          <w:sz w:val="24"/>
        </w:rPr>
      </w:pPr>
    </w:p>
    <w:p>
      <w:pPr>
        <w:pStyle w:val="6"/>
        <w:spacing w:line="360" w:lineRule="auto"/>
        <w:rPr>
          <w:rFonts w:asciiTheme="minorEastAsia" w:hAnsiTheme="minorEastAsia" w:eastAsiaTheme="minorEastAsia"/>
          <w:b/>
        </w:rPr>
      </w:pPr>
      <w:r>
        <w:rPr>
          <w:rFonts w:hint="eastAsia" w:asciiTheme="minorEastAsia" w:hAnsiTheme="minorEastAsia" w:eastAsiaTheme="minorEastAsia"/>
          <w:sz w:val="24"/>
        </w:rPr>
        <w:t>具体评分标准如下：</w:t>
      </w:r>
    </w:p>
    <w:tbl>
      <w:tblPr>
        <w:tblStyle w:val="7"/>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851"/>
        <w:gridCol w:w="1276"/>
        <w:gridCol w:w="607"/>
        <w:gridCol w:w="1418"/>
        <w:gridCol w:w="3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4430" w:type="dxa"/>
            <w:gridSpan w:val="5"/>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szCs w:val="20"/>
              </w:rPr>
            </w:pPr>
            <w:r>
              <w:rPr>
                <w:rFonts w:hint="eastAsia" w:asciiTheme="minorEastAsia" w:hAnsiTheme="minorEastAsia" w:eastAsiaTheme="minorEastAsia"/>
              </w:rPr>
              <w:t>评分因素与权重分值</w:t>
            </w:r>
          </w:p>
        </w:tc>
        <w:tc>
          <w:tcPr>
            <w:tcW w:w="5372" w:type="dxa"/>
            <w:gridSpan w:val="2"/>
            <w:vMerge w:val="restart"/>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条款号</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评分因素</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ind w:left="-40" w:leftChars="-19" w:firstLine="1"/>
              <w:jc w:val="center"/>
              <w:textAlignment w:val="baseline"/>
              <w:rPr>
                <w:rFonts w:asciiTheme="minorEastAsia" w:hAnsiTheme="minorEastAsia" w:eastAsiaTheme="minorEastAsia"/>
              </w:rPr>
            </w:pPr>
            <w:r>
              <w:rPr>
                <w:rFonts w:hint="eastAsia" w:asciiTheme="minorEastAsia" w:hAnsiTheme="minorEastAsia" w:eastAsiaTheme="minorEastAsia"/>
              </w:rPr>
              <w:t>评分因素权重分值</w:t>
            </w:r>
          </w:p>
        </w:tc>
        <w:tc>
          <w:tcPr>
            <w:tcW w:w="1276"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Style w:val="12"/>
                <w:rFonts w:hint="default" w:asciiTheme="minorEastAsia" w:hAnsiTheme="minorEastAsia" w:eastAsiaTheme="minorEastAsia"/>
                <w:color w:val="auto"/>
              </w:rPr>
              <w:t>各评分因素细分项</w:t>
            </w:r>
          </w:p>
        </w:tc>
        <w:tc>
          <w:tcPr>
            <w:tcW w:w="607"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ind w:leftChars="-50" w:right="-107" w:rightChars="-51" w:hanging="105" w:hangingChars="50"/>
              <w:jc w:val="center"/>
              <w:textAlignment w:val="baseline"/>
              <w:rPr>
                <w:rFonts w:asciiTheme="minorEastAsia" w:hAnsiTheme="minorEastAsia" w:eastAsiaTheme="minorEastAsia"/>
              </w:rPr>
            </w:pPr>
            <w:r>
              <w:rPr>
                <w:rFonts w:hint="eastAsia" w:asciiTheme="minorEastAsia" w:hAnsiTheme="minorEastAsia" w:eastAsiaTheme="minorEastAsia"/>
              </w:rPr>
              <w:t>分值</w:t>
            </w:r>
          </w:p>
        </w:tc>
        <w:tc>
          <w:tcPr>
            <w:tcW w:w="537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2.2.4（1）</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技术建议书</w:t>
            </w:r>
            <w:r>
              <w:rPr>
                <w:rFonts w:hint="eastAsia" w:asciiTheme="minorEastAsia" w:hAnsiTheme="minorEastAsia" w:eastAsiaTheme="minorEastAsia"/>
                <w:b/>
                <w:bCs/>
              </w:rPr>
              <w:t>（暗标）</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asciiTheme="minorEastAsia" w:hAnsiTheme="minorEastAsia" w:eastAsiaTheme="minorEastAsia"/>
              </w:rPr>
              <w:t>35</w:t>
            </w:r>
            <w:r>
              <w:rPr>
                <w:rFonts w:hint="eastAsia" w:asciiTheme="minorEastAsia" w:hAnsiTheme="minorEastAsia" w:eastAsiaTheme="minorEastAsia"/>
              </w:rPr>
              <w:t>分</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监理大纲和措施</w:t>
            </w:r>
          </w:p>
        </w:tc>
        <w:tc>
          <w:tcPr>
            <w:tcW w:w="607" w:type="dxa"/>
            <w:vMerge w:val="restart"/>
            <w:tcBorders>
              <w:top w:val="single" w:color="auto" w:sz="4" w:space="0"/>
              <w:left w:val="single" w:color="auto" w:sz="4" w:space="0"/>
              <w:bottom w:val="single" w:color="auto" w:sz="4" w:space="0"/>
              <w:right w:val="single" w:color="auto" w:sz="4" w:space="0"/>
            </w:tcBorders>
            <w:vAlign w:val="center"/>
          </w:tcPr>
          <w:p>
            <w:pPr>
              <w:pStyle w:val="6"/>
              <w:spacing w:line="160" w:lineRule="atLeast"/>
              <w:ind w:left="33" w:leftChars="-48" w:hanging="134" w:hangingChars="64"/>
              <w:jc w:val="center"/>
              <w:textAlignment w:val="baseline"/>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0</w:t>
            </w:r>
            <w:r>
              <w:rPr>
                <w:rFonts w:hint="eastAsia" w:asciiTheme="minorEastAsia" w:hAnsiTheme="minorEastAsia" w:eastAsiaTheme="minorEastAsia"/>
              </w:rPr>
              <w:t>分</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对本招标项目监理工作范围和任务理解(</w:t>
            </w:r>
            <w:r>
              <w:rPr>
                <w:rFonts w:asciiTheme="minorEastAsia" w:hAnsiTheme="minorEastAsia" w:eastAsiaTheme="minorEastAsia"/>
              </w:rPr>
              <w:t>4</w:t>
            </w:r>
            <w:r>
              <w:rPr>
                <w:rFonts w:hint="eastAsia" w:asciiTheme="minorEastAsia" w:hAnsiTheme="minorEastAsia" w:eastAsiaTheme="minorEastAsia"/>
              </w:rPr>
              <w:t>分)</w:t>
            </w:r>
          </w:p>
        </w:tc>
        <w:tc>
          <w:tcPr>
            <w:tcW w:w="3954"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理解准确，思路清晰，全面、合理，符合项目要求，得</w:t>
            </w:r>
            <w:r>
              <w:rPr>
                <w:rFonts w:asciiTheme="minorEastAsia" w:hAnsiTheme="minorEastAsia" w:eastAsiaTheme="minorEastAsia"/>
              </w:rPr>
              <w:t>3.2</w:t>
            </w:r>
            <w:r>
              <w:rPr>
                <w:rFonts w:hint="eastAsia" w:asciiTheme="minorEastAsia" w:hAnsiTheme="minorEastAsia" w:eastAsiaTheme="minorEastAsia"/>
              </w:rPr>
              <w:t>-</w:t>
            </w:r>
            <w:r>
              <w:rPr>
                <w:rFonts w:asciiTheme="minorEastAsia" w:hAnsiTheme="minorEastAsia" w:eastAsiaTheme="minorEastAsia"/>
              </w:rPr>
              <w:t>4.0</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3954"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理解较准确，思路较清晰，得</w:t>
            </w:r>
            <w:r>
              <w:rPr>
                <w:rFonts w:asciiTheme="minorEastAsia" w:hAnsiTheme="minorEastAsia" w:eastAsiaTheme="minorEastAsia"/>
              </w:rPr>
              <w:t>2.4</w:t>
            </w:r>
            <w:r>
              <w:rPr>
                <w:rFonts w:hint="eastAsia" w:asciiTheme="minorEastAsia" w:hAnsiTheme="minorEastAsia" w:eastAsiaTheme="minorEastAsia"/>
              </w:rPr>
              <w:t>-</w:t>
            </w:r>
            <w:r>
              <w:rPr>
                <w:rFonts w:asciiTheme="minorEastAsia" w:hAnsiTheme="minorEastAsia" w:eastAsiaTheme="minorEastAsia"/>
              </w:rPr>
              <w:t>3.2</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3954"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理解基本准确，得</w:t>
            </w:r>
            <w:r>
              <w:rPr>
                <w:rFonts w:asciiTheme="minorEastAsia" w:hAnsiTheme="minorEastAsia" w:eastAsiaTheme="minorEastAsia"/>
              </w:rPr>
              <w:t>2.4</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监理方案及措施</w:t>
            </w:r>
          </w:p>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（8分）</w:t>
            </w:r>
          </w:p>
        </w:tc>
        <w:tc>
          <w:tcPr>
            <w:tcW w:w="3954"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方案详尽，措施具体全面合理，可行性强，得6.4-</w:t>
            </w:r>
            <w:r>
              <w:rPr>
                <w:rFonts w:asciiTheme="minorEastAsia" w:hAnsiTheme="minorEastAsia" w:eastAsiaTheme="minorEastAsia"/>
              </w:rPr>
              <w:t>8.0</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3954"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方案较详尽，措施合理，可行性较好，得</w:t>
            </w:r>
            <w:r>
              <w:rPr>
                <w:rFonts w:asciiTheme="minorEastAsia" w:hAnsiTheme="minorEastAsia" w:eastAsiaTheme="minorEastAsia"/>
              </w:rPr>
              <w:t>4.8</w:t>
            </w:r>
            <w:r>
              <w:rPr>
                <w:rFonts w:hint="eastAsia" w:asciiTheme="minorEastAsia" w:hAnsiTheme="minorEastAsia" w:eastAsiaTheme="minorEastAsia"/>
              </w:rPr>
              <w:t>-6.4分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3954"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方案一般，措施基本全面，可行性一般，得4.8分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pStyle w:val="6"/>
              <w:spacing w:line="160" w:lineRule="atLeast"/>
              <w:ind w:right="-57" w:rightChars="-27"/>
              <w:jc w:val="center"/>
              <w:textAlignment w:val="baseline"/>
              <w:rPr>
                <w:rFonts w:asciiTheme="minorEastAsia" w:hAnsiTheme="minorEastAsia" w:eastAsiaTheme="minorEastAsia"/>
              </w:rPr>
            </w:pPr>
            <w:r>
              <w:rPr>
                <w:rFonts w:hint="eastAsia" w:asciiTheme="minorEastAsia" w:hAnsiTheme="minorEastAsia" w:eastAsiaTheme="minorEastAsia"/>
              </w:rPr>
              <w:t>监理工作程序(8分)</w:t>
            </w:r>
          </w:p>
        </w:tc>
        <w:tc>
          <w:tcPr>
            <w:tcW w:w="3954"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内容齐全，阶段划分合理、正确，可实施性强，得6.4-</w:t>
            </w:r>
            <w:r>
              <w:rPr>
                <w:rFonts w:asciiTheme="minorEastAsia" w:hAnsiTheme="minorEastAsia" w:eastAsiaTheme="minorEastAsia"/>
              </w:rPr>
              <w:t>8.0</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3954"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内容较齐全，阶段划分较合理，可实施性较好，得</w:t>
            </w:r>
            <w:r>
              <w:rPr>
                <w:rFonts w:asciiTheme="minorEastAsia" w:hAnsiTheme="minorEastAsia" w:eastAsiaTheme="minorEastAsia"/>
              </w:rPr>
              <w:t>4.8</w:t>
            </w:r>
            <w:r>
              <w:rPr>
                <w:rFonts w:hint="eastAsia" w:asciiTheme="minorEastAsia" w:hAnsiTheme="minorEastAsia" w:eastAsiaTheme="minorEastAsia"/>
              </w:rPr>
              <w:t>-6.4分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3954"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 xml:space="preserve">内容基本齐全，阶段划分基本合理，可实施性一般，得4.8分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本工程监理工作的重点与难点分析</w:t>
            </w:r>
          </w:p>
        </w:tc>
        <w:tc>
          <w:tcPr>
            <w:tcW w:w="607" w:type="dxa"/>
            <w:vMerge w:val="restart"/>
            <w:tcBorders>
              <w:top w:val="single" w:color="auto" w:sz="4" w:space="0"/>
              <w:left w:val="single" w:color="auto" w:sz="4" w:space="0"/>
              <w:bottom w:val="single" w:color="auto" w:sz="4" w:space="0"/>
              <w:right w:val="single" w:color="auto" w:sz="4" w:space="0"/>
            </w:tcBorders>
            <w:vAlign w:val="center"/>
          </w:tcPr>
          <w:p>
            <w:pPr>
              <w:pStyle w:val="6"/>
              <w:spacing w:line="160" w:lineRule="atLeast"/>
              <w:ind w:left="33" w:leftChars="-48" w:hanging="134" w:hangingChars="64"/>
              <w:jc w:val="center"/>
              <w:textAlignment w:val="baseline"/>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w:t>
            </w:r>
            <w:r>
              <w:rPr>
                <w:rFonts w:hint="eastAsia" w:asciiTheme="minorEastAsia" w:hAnsiTheme="minorEastAsia" w:eastAsiaTheme="minorEastAsia"/>
              </w:rPr>
              <w:t>分</w:t>
            </w:r>
          </w:p>
        </w:tc>
        <w:tc>
          <w:tcPr>
            <w:tcW w:w="5372" w:type="dxa"/>
            <w:gridSpan w:val="2"/>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分析透彻，对难点、重点把握准确；处理措施科学合理，有效可行，得</w:t>
            </w:r>
            <w:r>
              <w:rPr>
                <w:rFonts w:asciiTheme="minorEastAsia" w:hAnsiTheme="minorEastAsia" w:eastAsiaTheme="minorEastAsia"/>
              </w:rPr>
              <w:t>8.0</w:t>
            </w:r>
            <w:r>
              <w:rPr>
                <w:rFonts w:hint="eastAsia" w:asciiTheme="minorEastAsia" w:hAnsiTheme="minorEastAsia" w:eastAsiaTheme="minorEastAsia"/>
              </w:rPr>
              <w:t>-1</w:t>
            </w:r>
            <w:r>
              <w:rPr>
                <w:rFonts w:asciiTheme="minorEastAsia" w:hAnsiTheme="minorEastAsia" w:eastAsiaTheme="minorEastAsia"/>
              </w:rPr>
              <w:t>0</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5372" w:type="dxa"/>
            <w:gridSpan w:val="2"/>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分析较透彻，对难点、重点把握较准确；处理措施合理，可行，得</w:t>
            </w:r>
            <w:r>
              <w:rPr>
                <w:rFonts w:asciiTheme="minorEastAsia" w:hAnsiTheme="minorEastAsia" w:eastAsiaTheme="minorEastAsia"/>
              </w:rPr>
              <w:t>6.0</w:t>
            </w:r>
            <w:r>
              <w:rPr>
                <w:rFonts w:hint="eastAsia" w:asciiTheme="minorEastAsia" w:hAnsiTheme="minorEastAsia" w:eastAsiaTheme="minorEastAsia"/>
              </w:rPr>
              <w:t>-</w:t>
            </w:r>
            <w:r>
              <w:rPr>
                <w:rFonts w:asciiTheme="minorEastAsia" w:hAnsiTheme="minorEastAsia" w:eastAsiaTheme="minorEastAsia"/>
              </w:rPr>
              <w:t>8.0</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5372" w:type="dxa"/>
            <w:gridSpan w:val="2"/>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分析一般，对难点、重点把握一般；处理措施基本合理，基本可行，得</w:t>
            </w:r>
            <w:r>
              <w:rPr>
                <w:rFonts w:asciiTheme="minorEastAsia" w:hAnsiTheme="minorEastAsia" w:eastAsiaTheme="minorEastAsia"/>
              </w:rPr>
              <w:t>6.0</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对本工程的建议</w:t>
            </w:r>
          </w:p>
        </w:tc>
        <w:tc>
          <w:tcPr>
            <w:tcW w:w="607" w:type="dxa"/>
            <w:vMerge w:val="restart"/>
            <w:tcBorders>
              <w:top w:val="single" w:color="auto" w:sz="4" w:space="0"/>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分</w:t>
            </w:r>
          </w:p>
        </w:tc>
        <w:tc>
          <w:tcPr>
            <w:tcW w:w="5372" w:type="dxa"/>
            <w:gridSpan w:val="2"/>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建议措施具体全面、可靠、合理，可实施性强，4.</w:t>
            </w:r>
            <w:r>
              <w:rPr>
                <w:rFonts w:asciiTheme="minorEastAsia" w:hAnsiTheme="minorEastAsia" w:eastAsiaTheme="minorEastAsia"/>
              </w:rPr>
              <w:t>0</w:t>
            </w:r>
            <w:r>
              <w:rPr>
                <w:rFonts w:hint="eastAsia" w:asciiTheme="minorEastAsia" w:hAnsiTheme="minorEastAsia" w:eastAsiaTheme="minorEastAsia"/>
              </w:rPr>
              <w:t>-</w:t>
            </w:r>
            <w:r>
              <w:rPr>
                <w:rFonts w:asciiTheme="minorEastAsia" w:hAnsiTheme="minorEastAsia" w:eastAsiaTheme="minorEastAsia"/>
              </w:rPr>
              <w:t>5.0</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5372" w:type="dxa"/>
            <w:gridSpan w:val="2"/>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建议措施全面、合理，可实施性较好，得</w:t>
            </w:r>
            <w:r>
              <w:rPr>
                <w:rFonts w:asciiTheme="minorEastAsia" w:hAnsiTheme="minorEastAsia" w:eastAsiaTheme="minorEastAsia"/>
              </w:rPr>
              <w:t>3.0</w:t>
            </w:r>
            <w:r>
              <w:rPr>
                <w:rFonts w:hint="eastAsia" w:asciiTheme="minorEastAsia" w:hAnsiTheme="minorEastAsia" w:eastAsiaTheme="minorEastAsia"/>
              </w:rPr>
              <w:t>-4.</w:t>
            </w:r>
            <w:r>
              <w:rPr>
                <w:rFonts w:asciiTheme="minorEastAsia" w:hAnsiTheme="minorEastAsia" w:eastAsiaTheme="minorEastAsia"/>
              </w:rPr>
              <w:t>0</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5372" w:type="dxa"/>
            <w:gridSpan w:val="2"/>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建议措施基本全面、合理，可实施性一般，得</w:t>
            </w:r>
            <w:r>
              <w:rPr>
                <w:rFonts w:asciiTheme="minorEastAsia" w:hAnsiTheme="minorEastAsia" w:eastAsiaTheme="minorEastAsia"/>
              </w:rPr>
              <w:t>3.0</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6" w:type="dxa"/>
            <w:vMerge w:val="restart"/>
            <w:tcBorders>
              <w:top w:val="nil"/>
              <w:left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2.2.4（2）</w:t>
            </w:r>
          </w:p>
        </w:tc>
        <w:tc>
          <w:tcPr>
            <w:tcW w:w="850" w:type="dxa"/>
            <w:vMerge w:val="restart"/>
            <w:tcBorders>
              <w:top w:val="nil"/>
              <w:left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主要人员</w:t>
            </w:r>
          </w:p>
        </w:tc>
        <w:tc>
          <w:tcPr>
            <w:tcW w:w="851" w:type="dxa"/>
            <w:vMerge w:val="restart"/>
            <w:tcBorders>
              <w:top w:val="nil"/>
              <w:left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asciiTheme="minorEastAsia" w:hAnsiTheme="minorEastAsia" w:eastAsiaTheme="minorEastAsia"/>
              </w:rPr>
              <w:t>30</w:t>
            </w:r>
            <w:r>
              <w:rPr>
                <w:rFonts w:hint="eastAsia" w:asciiTheme="minorEastAsia" w:hAnsiTheme="minorEastAsia" w:eastAsiaTheme="minorEastAsia"/>
              </w:rPr>
              <w:t>分</w:t>
            </w:r>
          </w:p>
        </w:tc>
        <w:tc>
          <w:tcPr>
            <w:tcW w:w="1276" w:type="dxa"/>
            <w:vMerge w:val="restart"/>
            <w:tcBorders>
              <w:top w:val="single" w:color="auto" w:sz="4" w:space="0"/>
              <w:left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总监理工程师</w:t>
            </w:r>
          </w:p>
        </w:tc>
        <w:tc>
          <w:tcPr>
            <w:tcW w:w="607" w:type="dxa"/>
            <w:vMerge w:val="restart"/>
            <w:tcBorders>
              <w:top w:val="single" w:color="auto" w:sz="4" w:space="0"/>
              <w:left w:val="single" w:color="auto" w:sz="4" w:space="0"/>
              <w:right w:val="single" w:color="auto" w:sz="4" w:space="0"/>
            </w:tcBorders>
            <w:vAlign w:val="center"/>
          </w:tcPr>
          <w:p>
            <w:pPr>
              <w:pStyle w:val="6"/>
              <w:spacing w:line="160" w:lineRule="atLeast"/>
              <w:ind w:left="33" w:leftChars="-48" w:hanging="134" w:hangingChars="64"/>
              <w:jc w:val="right"/>
              <w:textAlignment w:val="baseline"/>
              <w:rPr>
                <w:rFonts w:asciiTheme="minorEastAsia" w:hAnsiTheme="minorEastAsia" w:eastAsiaTheme="minorEastAsia"/>
              </w:rPr>
            </w:pPr>
            <w:r>
              <w:rPr>
                <w:rFonts w:hint="eastAsia" w:asciiTheme="minorEastAsia" w:hAnsiTheme="minorEastAsia" w:eastAsiaTheme="minorEastAsia"/>
              </w:rPr>
              <w:t>30分</w:t>
            </w:r>
          </w:p>
        </w:tc>
        <w:tc>
          <w:tcPr>
            <w:tcW w:w="5372" w:type="dxa"/>
            <w:gridSpan w:val="2"/>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满足附录4资格审查条件(总监理工程师最低要求)的，得18分；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46" w:type="dxa"/>
            <w:vMerge w:val="continue"/>
            <w:tcBorders>
              <w:left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p>
        </w:tc>
        <w:tc>
          <w:tcPr>
            <w:tcW w:w="850" w:type="dxa"/>
            <w:vMerge w:val="continue"/>
            <w:tcBorders>
              <w:left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p>
        </w:tc>
        <w:tc>
          <w:tcPr>
            <w:tcW w:w="851" w:type="dxa"/>
            <w:vMerge w:val="continue"/>
            <w:tcBorders>
              <w:left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p>
        </w:tc>
        <w:tc>
          <w:tcPr>
            <w:tcW w:w="1276" w:type="dxa"/>
            <w:vMerge w:val="continue"/>
            <w:tcBorders>
              <w:left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p>
        </w:tc>
        <w:tc>
          <w:tcPr>
            <w:tcW w:w="607" w:type="dxa"/>
            <w:vMerge w:val="continue"/>
            <w:tcBorders>
              <w:left w:val="single" w:color="auto" w:sz="4" w:space="0"/>
              <w:bottom w:val="single" w:color="auto" w:sz="4" w:space="0"/>
              <w:right w:val="single" w:color="auto" w:sz="4" w:space="0"/>
            </w:tcBorders>
            <w:vAlign w:val="center"/>
          </w:tcPr>
          <w:p>
            <w:pPr>
              <w:pStyle w:val="6"/>
              <w:spacing w:line="160" w:lineRule="atLeast"/>
              <w:ind w:left="33" w:leftChars="-48" w:hanging="134" w:hangingChars="64"/>
              <w:jc w:val="right"/>
              <w:textAlignment w:val="baseline"/>
              <w:rPr>
                <w:rFonts w:asciiTheme="minorEastAsia" w:hAnsiTheme="minorEastAsia" w:eastAsiaTheme="minorEastAsia"/>
              </w:rPr>
            </w:pPr>
          </w:p>
        </w:tc>
        <w:tc>
          <w:tcPr>
            <w:tcW w:w="5372" w:type="dxa"/>
            <w:gridSpan w:val="2"/>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总监理工程师每增加1项满足资格条件的业绩</w:t>
            </w:r>
            <w:r>
              <w:rPr>
                <w:rFonts w:cs="宋体" w:asciiTheme="minorEastAsia" w:hAnsiTheme="minorEastAsia" w:eastAsiaTheme="minorEastAsia"/>
                <w:kern w:val="0"/>
              </w:rPr>
              <w:t>加</w:t>
            </w:r>
            <w:r>
              <w:rPr>
                <w:rFonts w:hint="eastAsia" w:cs="宋体" w:asciiTheme="minorEastAsia" w:hAnsiTheme="minorEastAsia" w:eastAsiaTheme="minorEastAsia"/>
                <w:kern w:val="0"/>
              </w:rPr>
              <w:t>12</w:t>
            </w:r>
            <w:r>
              <w:rPr>
                <w:rFonts w:cs="宋体" w:asciiTheme="minorEastAsia" w:hAnsiTheme="minorEastAsia" w:eastAsiaTheme="minorEastAsia"/>
                <w:kern w:val="0"/>
              </w:rPr>
              <w:t>分，最多加</w:t>
            </w:r>
            <w:r>
              <w:rPr>
                <w:rFonts w:hint="eastAsia" w:cs="宋体" w:asciiTheme="minorEastAsia" w:hAnsiTheme="minorEastAsia" w:eastAsiaTheme="minorEastAsia"/>
                <w:kern w:val="0"/>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46" w:type="dxa"/>
            <w:tcBorders>
              <w:top w:val="nil"/>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2.2.4（3）</w:t>
            </w:r>
          </w:p>
        </w:tc>
        <w:tc>
          <w:tcPr>
            <w:tcW w:w="850" w:type="dxa"/>
            <w:tcBorders>
              <w:top w:val="nil"/>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评标价</w:t>
            </w:r>
          </w:p>
        </w:tc>
        <w:tc>
          <w:tcPr>
            <w:tcW w:w="851" w:type="dxa"/>
            <w:tcBorders>
              <w:top w:val="nil"/>
              <w:left w:val="single" w:color="auto" w:sz="4" w:space="0"/>
              <w:bottom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10分</w:t>
            </w:r>
          </w:p>
        </w:tc>
        <w:tc>
          <w:tcPr>
            <w:tcW w:w="7255" w:type="dxa"/>
            <w:gridSpan w:val="4"/>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评标价得分计算公式示例：</w:t>
            </w:r>
          </w:p>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（1）如果投标人的评标价＞评标基准价，则评标价得分=F-（投标人评标价-评标基准价）/评标基准价×100×E1；</w:t>
            </w:r>
          </w:p>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（2）如果投标人的评标价≤评标基准价，则评标价得分=F+(投标人评标价-评标基准价)/评标基准价×100×E2。</w:t>
            </w:r>
          </w:p>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其中，F=10；E1=0.</w:t>
            </w:r>
            <w:r>
              <w:rPr>
                <w:rFonts w:asciiTheme="minorEastAsia" w:hAnsiTheme="minorEastAsia" w:eastAsiaTheme="minorEastAsia"/>
              </w:rPr>
              <w:t>2</w:t>
            </w:r>
            <w:r>
              <w:rPr>
                <w:rFonts w:hint="eastAsia" w:asciiTheme="minorEastAsia" w:hAnsiTheme="minorEastAsia" w:eastAsiaTheme="minorEastAsia"/>
              </w:rPr>
              <w:t>；E2=0.</w:t>
            </w:r>
            <w:r>
              <w:rPr>
                <w:rFonts w:asciiTheme="minorEastAsia" w:hAnsiTheme="minorEastAsia" w:eastAsiaTheme="minorEastAsia"/>
              </w:rPr>
              <w:t>1</w:t>
            </w:r>
            <w:r>
              <w:rPr>
                <w:rFonts w:hint="eastAsia" w:asciiTheme="minorEastAsia" w:hAnsiTheme="minorEastAsia" w:eastAsiaTheme="minorEastAsia"/>
              </w:rPr>
              <w:t xml:space="preserve">；评标价最低得分为0分。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6" w:type="dxa"/>
            <w:vMerge w:val="restart"/>
            <w:tcBorders>
              <w:top w:val="single" w:color="auto" w:sz="4" w:space="0"/>
              <w:left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2.2.4（4）</w:t>
            </w:r>
          </w:p>
        </w:tc>
        <w:tc>
          <w:tcPr>
            <w:tcW w:w="850" w:type="dxa"/>
            <w:vMerge w:val="restart"/>
            <w:tcBorders>
              <w:top w:val="single" w:color="auto" w:sz="4" w:space="0"/>
              <w:left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hint="eastAsia" w:asciiTheme="minorEastAsia" w:hAnsiTheme="minorEastAsia" w:eastAsiaTheme="minorEastAsia"/>
              </w:rPr>
              <w:t>其他因素</w:t>
            </w:r>
          </w:p>
        </w:tc>
        <w:tc>
          <w:tcPr>
            <w:tcW w:w="851" w:type="dxa"/>
            <w:vMerge w:val="restart"/>
            <w:tcBorders>
              <w:top w:val="single" w:color="auto" w:sz="4" w:space="0"/>
              <w:left w:val="single" w:color="auto" w:sz="4" w:space="0"/>
              <w:right w:val="single" w:color="auto" w:sz="4" w:space="0"/>
            </w:tcBorders>
            <w:vAlign w:val="center"/>
          </w:tcPr>
          <w:p>
            <w:pPr>
              <w:pStyle w:val="6"/>
              <w:spacing w:line="160" w:lineRule="atLeast"/>
              <w:jc w:val="center"/>
              <w:textAlignment w:val="baseline"/>
              <w:rPr>
                <w:rFonts w:asciiTheme="minorEastAsia" w:hAnsiTheme="minorEastAsia" w:eastAsiaTheme="minorEastAsia"/>
              </w:rPr>
            </w:pPr>
            <w:r>
              <w:rPr>
                <w:rFonts w:asciiTheme="minorEastAsia" w:hAnsiTheme="minorEastAsia" w:eastAsiaTheme="minorEastAsia"/>
              </w:rPr>
              <w:t>25</w:t>
            </w:r>
            <w:r>
              <w:rPr>
                <w:rFonts w:hint="eastAsia" w:asciiTheme="minorEastAsia" w:hAnsiTheme="minorEastAsia" w:eastAsiaTheme="minorEastAsia"/>
              </w:rPr>
              <w:t>分</w:t>
            </w:r>
          </w:p>
        </w:tc>
        <w:tc>
          <w:tcPr>
            <w:tcW w:w="1276" w:type="dxa"/>
            <w:vMerge w:val="restart"/>
            <w:tcBorders>
              <w:top w:val="single" w:color="auto" w:sz="4" w:space="0"/>
              <w:left w:val="single" w:color="auto" w:sz="4" w:space="0"/>
              <w:right w:val="single" w:color="auto" w:sz="4" w:space="0"/>
            </w:tcBorders>
            <w:vAlign w:val="center"/>
          </w:tcPr>
          <w:p>
            <w:pPr>
              <w:pStyle w:val="6"/>
              <w:spacing w:line="160" w:lineRule="atLeast"/>
              <w:ind w:right="-81"/>
              <w:jc w:val="center"/>
              <w:textAlignment w:val="baseline"/>
              <w:rPr>
                <w:rFonts w:asciiTheme="minorEastAsia" w:hAnsiTheme="minorEastAsia" w:eastAsiaTheme="minorEastAsia"/>
              </w:rPr>
            </w:pPr>
            <w:r>
              <w:rPr>
                <w:rFonts w:hint="eastAsia" w:asciiTheme="minorEastAsia" w:hAnsiTheme="minorEastAsia" w:eastAsiaTheme="minorEastAsia"/>
              </w:rPr>
              <w:t>企业业绩</w:t>
            </w:r>
          </w:p>
        </w:tc>
        <w:tc>
          <w:tcPr>
            <w:tcW w:w="607" w:type="dxa"/>
            <w:tcBorders>
              <w:top w:val="single" w:color="auto" w:sz="4" w:space="0"/>
              <w:left w:val="single" w:color="auto" w:sz="4" w:space="0"/>
              <w:bottom w:val="single" w:color="auto" w:sz="4" w:space="0"/>
              <w:right w:val="single" w:color="auto" w:sz="4" w:space="0"/>
            </w:tcBorders>
            <w:vAlign w:val="center"/>
          </w:tcPr>
          <w:p>
            <w:pPr>
              <w:pStyle w:val="6"/>
              <w:spacing w:line="160" w:lineRule="atLeast"/>
              <w:ind w:leftChars="-15" w:right="-71" w:rightChars="-34" w:hanging="31" w:hangingChars="15"/>
              <w:jc w:val="center"/>
              <w:textAlignment w:val="baseline"/>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5</w:t>
            </w:r>
            <w:r>
              <w:rPr>
                <w:rFonts w:hint="eastAsia" w:asciiTheme="minorEastAsia" w:hAnsiTheme="minorEastAsia" w:eastAsiaTheme="minorEastAsia"/>
              </w:rPr>
              <w:t>分</w:t>
            </w:r>
          </w:p>
        </w:tc>
        <w:tc>
          <w:tcPr>
            <w:tcW w:w="5372" w:type="dxa"/>
            <w:gridSpan w:val="2"/>
            <w:tcBorders>
              <w:top w:val="single" w:color="auto" w:sz="4" w:space="0"/>
              <w:left w:val="single" w:color="auto" w:sz="4" w:space="0"/>
              <w:bottom w:val="single" w:color="auto" w:sz="4" w:space="0"/>
              <w:right w:val="single" w:color="auto" w:sz="4" w:space="0"/>
            </w:tcBorders>
            <w:vAlign w:val="center"/>
          </w:tcPr>
          <w:p>
            <w:pPr>
              <w:pStyle w:val="6"/>
              <w:spacing w:line="160" w:lineRule="atLeast"/>
              <w:jc w:val="left"/>
              <w:textAlignment w:val="baseline"/>
              <w:rPr>
                <w:rFonts w:asciiTheme="minorEastAsia" w:hAnsiTheme="minorEastAsia" w:eastAsiaTheme="minorEastAsia"/>
              </w:rPr>
            </w:pPr>
            <w:r>
              <w:rPr>
                <w:rFonts w:hint="eastAsia" w:asciiTheme="minorEastAsia" w:hAnsiTheme="minorEastAsia" w:eastAsiaTheme="minorEastAsia"/>
              </w:rPr>
              <w:t>满足附录2资格审查条件（业绩最低要求）的，得1</w:t>
            </w:r>
            <w:r>
              <w:rPr>
                <w:rFonts w:asciiTheme="minorEastAsia" w:hAnsiTheme="minorEastAsia" w:eastAsiaTheme="minorEastAsia"/>
              </w:rPr>
              <w:t>5</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46"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0"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1276"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szCs w:val="20"/>
              </w:rPr>
            </w:pPr>
          </w:p>
        </w:tc>
        <w:tc>
          <w:tcPr>
            <w:tcW w:w="607" w:type="dxa"/>
            <w:tcBorders>
              <w:top w:val="single" w:color="auto" w:sz="4" w:space="0"/>
              <w:left w:val="single" w:color="auto" w:sz="4" w:space="0"/>
              <w:right w:val="single" w:color="auto" w:sz="4" w:space="0"/>
            </w:tcBorders>
            <w:vAlign w:val="center"/>
          </w:tcPr>
          <w:p>
            <w:pPr>
              <w:pStyle w:val="6"/>
              <w:spacing w:line="160" w:lineRule="atLeast"/>
              <w:ind w:leftChars="-15" w:right="-71" w:rightChars="-34" w:hanging="31" w:hangingChars="15"/>
              <w:jc w:val="center"/>
              <w:textAlignment w:val="baseline"/>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w:t>
            </w:r>
            <w:r>
              <w:rPr>
                <w:rFonts w:hint="eastAsia" w:asciiTheme="minorEastAsia" w:hAnsiTheme="minorEastAsia" w:eastAsiaTheme="minorEastAsia"/>
              </w:rPr>
              <w:t>分</w:t>
            </w:r>
          </w:p>
        </w:tc>
        <w:tc>
          <w:tcPr>
            <w:tcW w:w="5372" w:type="dxa"/>
            <w:gridSpan w:val="2"/>
            <w:tcBorders>
              <w:top w:val="single" w:color="auto" w:sz="4" w:space="0"/>
              <w:left w:val="single" w:color="auto" w:sz="4" w:space="0"/>
              <w:right w:val="single" w:color="auto" w:sz="4" w:space="0"/>
            </w:tcBorders>
            <w:vAlign w:val="center"/>
          </w:tcPr>
          <w:p>
            <w:pPr>
              <w:widowControl/>
              <w:jc w:val="left"/>
              <w:textAlignment w:val="baseline"/>
              <w:rPr>
                <w:rFonts w:asciiTheme="minorEastAsia" w:hAnsiTheme="minorEastAsia" w:eastAsiaTheme="minorEastAsia"/>
              </w:rPr>
            </w:pPr>
            <w:r>
              <w:rPr>
                <w:rFonts w:hint="eastAsia" w:asciiTheme="minorEastAsia" w:hAnsiTheme="minorEastAsia" w:eastAsiaTheme="minorEastAsia"/>
              </w:rPr>
              <w:t>每增加1项满足资格条件的业绩加10分，本项最多加10分。</w:t>
            </w:r>
          </w:p>
        </w:tc>
      </w:tr>
    </w:tbl>
    <w:p>
      <w:pPr>
        <w:pStyle w:val="6"/>
        <w:textAlignment w:val="baseline"/>
        <w:rPr>
          <w:rFonts w:asciiTheme="minorEastAsia" w:hAnsiTheme="minorEastAsia" w:eastAsiaTheme="minorEastAsia"/>
        </w:rPr>
      </w:pPr>
      <w:r>
        <w:rPr>
          <w:rFonts w:hint="eastAsia" w:asciiTheme="minorEastAsia" w:hAnsiTheme="minorEastAsia" w:eastAsiaTheme="minorEastAsia"/>
        </w:rPr>
        <w:t>注：1、各评分因素得分应以评标委员会各成员的打分平均值确定。分值计算保留小数点后两位，小数点后第三位“四舍五入”。</w:t>
      </w:r>
    </w:p>
    <w:p>
      <w:pPr>
        <w:pStyle w:val="6"/>
        <w:ind w:firstLine="420" w:firstLineChars="200"/>
        <w:textAlignment w:val="baseline"/>
        <w:rPr>
          <w:rFonts w:asciiTheme="minorEastAsia" w:hAnsiTheme="minorEastAsia" w:eastAsiaTheme="minorEastAsia"/>
        </w:rPr>
      </w:pPr>
      <w:r>
        <w:rPr>
          <w:rFonts w:hint="eastAsia" w:asciiTheme="minorEastAsia" w:hAnsiTheme="minorEastAsia" w:eastAsiaTheme="minorEastAsia"/>
        </w:rPr>
        <w:t>2、技术建议书缺项则该项得0分。</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VjYjJhYzUwNDA2YjQ3MTY4YTNmNmRjZTFjYWYifQ=="/>
  </w:docVars>
  <w:rsids>
    <w:rsidRoot w:val="3E2D2311"/>
    <w:rsid w:val="13DF3855"/>
    <w:rsid w:val="3E2D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1"/>
    <w:pPr>
      <w:keepNext/>
      <w:keepLines/>
      <w:spacing w:before="260" w:after="260" w:line="412"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4"/>
    <w:qFormat/>
    <w:uiPriority w:val="0"/>
    <w:pPr>
      <w:ind w:firstLine="200" w:firstLineChars="200"/>
    </w:pPr>
  </w:style>
  <w:style w:type="paragraph" w:customStyle="1" w:styleId="4">
    <w:name w:val="目录 21"/>
    <w:basedOn w:val="1"/>
    <w:next w:val="1"/>
    <w:qFormat/>
    <w:uiPriority w:val="39"/>
    <w:pPr>
      <w:ind w:left="420" w:leftChars="200"/>
    </w:pPr>
  </w:style>
  <w:style w:type="paragraph" w:styleId="5">
    <w:name w:val="Body Text Indent"/>
    <w:basedOn w:val="1"/>
    <w:next w:val="3"/>
    <w:qFormat/>
    <w:uiPriority w:val="0"/>
    <w:pPr>
      <w:spacing w:line="360" w:lineRule="auto"/>
      <w:ind w:firstLine="480"/>
    </w:pPr>
    <w:rPr>
      <w:sz w:val="24"/>
      <w:szCs w:val="20"/>
    </w:rPr>
  </w:style>
  <w:style w:type="paragraph" w:styleId="6">
    <w:name w:val="Plain Text"/>
    <w:basedOn w:val="1"/>
    <w:qFormat/>
    <w:uiPriority w:val="0"/>
    <w:rPr>
      <w:rFonts w:ascii="宋体"/>
      <w:szCs w:val="21"/>
    </w:rPr>
  </w:style>
  <w:style w:type="paragraph" w:styleId="9">
    <w:name w:val="List Paragraph"/>
    <w:basedOn w:val="1"/>
    <w:qFormat/>
    <w:uiPriority w:val="99"/>
    <w:pPr>
      <w:ind w:firstLine="200" w:firstLineChars="200"/>
    </w:pPr>
  </w:style>
  <w:style w:type="character" w:customStyle="1" w:styleId="10">
    <w:name w:val="NormalCharacter"/>
    <w:qFormat/>
    <w:uiPriority w:val="0"/>
  </w:style>
  <w:style w:type="paragraph" w:customStyle="1" w:styleId="11">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12">
    <w:name w:val="正文文本 (2) + 10.5 pt"/>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465</Words>
  <Characters>475</Characters>
  <Lines>0</Lines>
  <Paragraphs>0</Paragraphs>
  <TotalTime>0</TotalTime>
  <ScaleCrop>false</ScaleCrop>
  <LinksUpToDate>false</LinksUpToDate>
  <CharactersWithSpaces>483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2023-09-20T00:47:00Z</dcterms:created>
  <dc:creator>冉</dc:creator>
  <cp:lastModifiedBy>冉</cp:lastModifiedBy>
  <dcterms:modified xsi:type="dcterms:W3CDTF">2023-09-20T00:49:30Z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83C4D1B66D4A49DCB111D7577FA4DA48_13</vt:lpwstr>
  </property>
</Properties>
</file>