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40" w:lineRule="exact"/>
        <w:rPr>
          <w:rFonts w:ascii="宋体" w:hAnsi="宋体"/>
          <w:b/>
          <w:bCs/>
          <w:sz w:val="24"/>
        </w:rPr>
      </w:pPr>
      <w:r>
        <w:rPr>
          <w:rFonts w:hint="eastAsia" w:ascii="宋体" w:hAnsi="宋体"/>
          <w:b/>
          <w:bCs/>
          <w:sz w:val="24"/>
        </w:rPr>
        <w:t>附件2：评标办法</w:t>
      </w:r>
    </w:p>
    <w:p>
      <w:pPr>
        <w:pStyle w:val="2"/>
        <w:spacing w:before="156" w:beforeLines="50" w:after="156" w:afterLines="50" w:line="240" w:lineRule="auto"/>
        <w:rPr>
          <w:rFonts w:ascii="宋体" w:hAnsi="宋体"/>
          <w:szCs w:val="24"/>
        </w:rPr>
      </w:pPr>
      <w:r>
        <w:rPr>
          <w:rFonts w:hint="eastAsia" w:ascii="宋体" w:hAnsi="宋体"/>
          <w:szCs w:val="24"/>
        </w:rPr>
        <w:t>评标办法前附表</w:t>
      </w:r>
    </w:p>
    <w:tbl>
      <w:tblPr>
        <w:tblStyle w:val="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61"/>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7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szCs w:val="21"/>
              </w:rPr>
              <w:t>条款号</w:t>
            </w:r>
          </w:p>
        </w:tc>
        <w:tc>
          <w:tcPr>
            <w:tcW w:w="7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szCs w:val="21"/>
              </w:rPr>
              <w:t>评审因素</w:t>
            </w:r>
            <w:r>
              <w:rPr>
                <w:rFonts w:hint="eastAsia" w:ascii="宋体" w:hAnsi="宋体"/>
                <w:b/>
              </w:rPr>
              <w:t>与评审</w:t>
            </w:r>
            <w:r>
              <w:rPr>
                <w:rFonts w:hint="eastAsia" w:ascii="宋体" w:hAnsi="宋体"/>
                <w:b/>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 xml:space="preserve">1 </w:t>
            </w: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评标办法</w:t>
            </w:r>
          </w:p>
        </w:tc>
        <w:tc>
          <w:tcPr>
            <w:tcW w:w="7353"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szCs w:val="21"/>
              </w:rPr>
            </w:pPr>
            <w:r>
              <w:rPr>
                <w:rFonts w:hint="eastAsia" w:ascii="宋体" w:hAnsi="宋体"/>
                <w:szCs w:val="21"/>
              </w:rPr>
              <w:t>评标价相等时，评标委员会依次按照以下优先顺序推荐中标候选人：</w:t>
            </w:r>
          </w:p>
          <w:p>
            <w:pPr>
              <w:tabs>
                <w:tab w:val="left" w:pos="3060"/>
              </w:tabs>
              <w:spacing w:line="320" w:lineRule="exact"/>
              <w:ind w:firstLine="210" w:firstLineChars="100"/>
              <w:rPr>
                <w:rFonts w:ascii="宋体" w:hAnsi="宋体"/>
                <w:szCs w:val="21"/>
              </w:rPr>
            </w:pPr>
            <w:r>
              <w:rPr>
                <w:rFonts w:hint="eastAsia" w:ascii="宋体" w:hAnsi="宋体"/>
                <w:szCs w:val="21"/>
              </w:rPr>
              <w:t>（1）投标报价低的优先；</w:t>
            </w:r>
          </w:p>
          <w:p>
            <w:pPr>
              <w:spacing w:line="276" w:lineRule="auto"/>
              <w:ind w:firstLine="210" w:firstLineChars="100"/>
              <w:jc w:val="left"/>
              <w:rPr>
                <w:rFonts w:ascii="宋体" w:hAnsi="宋体"/>
                <w:szCs w:val="21"/>
              </w:rPr>
            </w:pPr>
            <w:r>
              <w:rPr>
                <w:rFonts w:hint="eastAsia" w:ascii="宋体" w:hAnsi="宋体"/>
                <w:szCs w:val="21"/>
              </w:rPr>
              <w:t>（2）商务和技术得分较高的投标人优先。</w:t>
            </w:r>
          </w:p>
          <w:p>
            <w:pPr>
              <w:spacing w:line="276" w:lineRule="auto"/>
              <w:ind w:firstLine="420" w:firstLineChars="200"/>
              <w:jc w:val="left"/>
              <w:rPr>
                <w:rFonts w:ascii="宋体" w:hAnsi="宋体"/>
                <w:szCs w:val="21"/>
              </w:rPr>
            </w:pPr>
            <w:r>
              <w:rPr>
                <w:rFonts w:hint="eastAsia" w:ascii="宋体" w:hAnsi="宋体"/>
                <w:szCs w:val="21"/>
              </w:rPr>
              <w:t>评标委员会评审通过第一信封商务及技术文件评审的投标人少于 3 个的，评标委员会应否决全部投标；评标委员会评审通过第二信封报价文件评审的投标人少于 3 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2.1.1</w:t>
            </w:r>
          </w:p>
          <w:p>
            <w:pPr>
              <w:jc w:val="center"/>
              <w:rPr>
                <w:rFonts w:ascii="宋体" w:hAnsi="宋体"/>
              </w:rPr>
            </w:pPr>
            <w:r>
              <w:rPr>
                <w:rFonts w:hint="eastAsia" w:ascii="宋体" w:hAnsi="宋体"/>
              </w:rPr>
              <w:t>2.1.3</w:t>
            </w: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Cs w:val="21"/>
              </w:rPr>
              <w:t>形式评审与响应性评审标准</w:t>
            </w:r>
          </w:p>
        </w:tc>
        <w:tc>
          <w:tcPr>
            <w:tcW w:w="7353" w:type="dxa"/>
            <w:tcBorders>
              <w:top w:val="single" w:color="auto" w:sz="4" w:space="0"/>
              <w:left w:val="single" w:color="auto" w:sz="4" w:space="0"/>
              <w:bottom w:val="single" w:color="auto" w:sz="4" w:space="0"/>
              <w:right w:val="single" w:color="auto" w:sz="4" w:space="0"/>
            </w:tcBorders>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（1）投标文件按照招标文件规定的格式、内容填写，字迹清晰可辩：</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a、投标函按招标文件规定填报了项目名称、补遗书编号（如有）、工期、工程质量要求及安全目标、项目经理和项目总工姓名；</w:t>
            </w:r>
          </w:p>
          <w:p>
            <w:pPr>
              <w:tabs>
                <w:tab w:val="left" w:pos="3060"/>
              </w:tabs>
              <w:spacing w:line="320" w:lineRule="exact"/>
              <w:ind w:firstLine="420" w:firstLineChars="200"/>
              <w:rPr>
                <w:rFonts w:ascii="宋体" w:hAnsi="宋体"/>
                <w:szCs w:val="21"/>
              </w:rPr>
            </w:pPr>
            <w:r>
              <w:rPr>
                <w:rFonts w:hint="eastAsia" w:ascii="宋体" w:hAnsi="宋体"/>
                <w:szCs w:val="21"/>
              </w:rPr>
              <w:t>b、投标函附录的所有数据均符合招标文件规定；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（3）投标人按照招标文件的规定提供了投标保证金：</w:t>
            </w:r>
          </w:p>
          <w:p>
            <w:pPr>
              <w:tabs>
                <w:tab w:val="left" w:pos="3060"/>
              </w:tabs>
              <w:spacing w:line="320" w:lineRule="exact"/>
              <w:ind w:firstLine="210" w:firstLineChars="1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210" w:firstLineChars="100"/>
              <w:rPr>
                <w:rFonts w:ascii="宋体" w:hAnsi="宋体"/>
                <w:szCs w:val="21"/>
              </w:rPr>
            </w:pPr>
            <w:r>
              <w:rPr>
                <w:rFonts w:hint="eastAsia" w:ascii="宋体" w:hAnsi="宋体"/>
                <w:szCs w:val="21"/>
              </w:rPr>
              <w:t>b.</w:t>
            </w:r>
            <w:r>
              <w:rPr>
                <w:rFonts w:hint="eastAsia" w:ascii="宋体" w:hAnsi="宋体"/>
                <w:spacing w:val="-4"/>
                <w:szCs w:val="21"/>
              </w:rPr>
              <w:t xml:space="preserve"> 若</w:t>
            </w:r>
            <w:r>
              <w:rPr>
                <w:rFonts w:hint="eastAsia" w:ascii="宋体" w:hAnsi="宋体"/>
                <w:szCs w:val="21"/>
              </w:rPr>
              <w:t>投标保证金采用电汇或</w:t>
            </w:r>
            <w:r>
              <w:rPr>
                <w:rFonts w:hint="eastAsia" w:ascii="宋体" w:hAnsi="宋体"/>
                <w:spacing w:val="-4"/>
                <w:szCs w:val="21"/>
              </w:rPr>
              <w:t>转账或支票或汇票或本票形式提交，投标人应在递交投标文件截止时间之前，将投标保证金由投标人的基本账户转入招标人指定账户</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spacing w:line="288" w:lineRule="auto"/>
              <w:ind w:left="205" w:leftChars="97" w:hanging="1"/>
              <w:jc w:val="left"/>
              <w:rPr>
                <w:rFonts w:ascii="宋体" w:hAnsi="宋体"/>
                <w:spacing w:val="-4"/>
                <w:szCs w:val="21"/>
              </w:rPr>
            </w:pPr>
            <w:r>
              <w:rPr>
                <w:rFonts w:hint="eastAsia" w:ascii="宋体" w:hAnsi="宋体"/>
                <w:spacing w:val="-4"/>
                <w:szCs w:val="21"/>
              </w:rPr>
              <w:t>d.若投标保证金采用电子保证保险保函形式提交，应通过投标人的基本账户购买。</w:t>
            </w:r>
          </w:p>
          <w:p>
            <w:pPr>
              <w:tabs>
                <w:tab w:val="left" w:pos="3060"/>
              </w:tabs>
              <w:spacing w:line="320" w:lineRule="exact"/>
              <w:ind w:firstLine="210" w:firstLineChars="100"/>
              <w:rPr>
                <w:rFonts w:ascii="宋体" w:hAnsi="宋体"/>
                <w:szCs w:val="21"/>
              </w:rPr>
            </w:pPr>
            <w:r>
              <w:rPr>
                <w:rFonts w:hint="eastAsia" w:ascii="宋体" w:hAnsi="宋体"/>
                <w:szCs w:val="21"/>
              </w:rPr>
              <w:t>（4）投标人法定代表人授权委托代理人签署投标文件的，需提交授权委托书，且符合招标文件规定。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（5）投标人法定代表人亲自签署投标文件的，提供了法定代表人身份证明，且符合招标文件规定。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（6）投标人未以联合体形式投标。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（7）投标人未提出分包计划。</w:t>
            </w:r>
          </w:p>
          <w:p>
            <w:pPr>
              <w:tabs>
                <w:tab w:val="left" w:pos="3060"/>
              </w:tabs>
              <w:spacing w:line="320" w:lineRule="exact"/>
              <w:ind w:firstLine="210" w:firstLineChars="100"/>
              <w:rPr>
                <w:rFonts w:ascii="宋体" w:hAnsi="宋体"/>
                <w:szCs w:val="21"/>
              </w:rPr>
            </w:pPr>
            <w:r>
              <w:rPr>
                <w:rFonts w:hint="eastAsia" w:ascii="宋体" w:hAnsi="宋体"/>
                <w:szCs w:val="21"/>
              </w:rPr>
              <w:t>（8）同一投标人未提交两个以上不同的投标文件。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（9）投标文件中未出现有关投标报价的内容。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（10）投标文件载明的招标项目完成期限未超过招标文件规定的时限。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（11）投标文件对招标文件的实质性要求和条件作出响应。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（12）权利义务符合招标文件规定：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c.投标人未提出不同的工程验收、计量、支付办法；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105" w:firstLineChars="5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a．投标函按照招标文件规定填报了项目名称、补遗书编号（如有）、投标价；</w:t>
            </w:r>
          </w:p>
          <w:p>
            <w:pPr>
              <w:tabs>
                <w:tab w:val="left" w:pos="3060"/>
              </w:tabs>
              <w:spacing w:line="320" w:lineRule="exact"/>
              <w:ind w:firstLine="420" w:firstLineChars="200"/>
              <w:rPr>
                <w:rFonts w:ascii="宋体" w:hAnsi="宋体"/>
                <w:szCs w:val="21"/>
              </w:rPr>
            </w:pPr>
            <w:r>
              <w:rPr>
                <w:rFonts w:hint="eastAsia" w:ascii="宋体" w:hAnsi="宋体"/>
                <w:szCs w:val="21"/>
              </w:rPr>
              <w:t>b．已标价工程量清单说明文字与招标文件规定一致，未进行实质性修改和删减；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105" w:firstLineChars="50"/>
              <w:rPr>
                <w:rFonts w:ascii="宋体" w:hAnsi="宋体"/>
                <w:szCs w:val="21"/>
              </w:rPr>
            </w:pPr>
            <w:r>
              <w:rPr>
                <w:rFonts w:hint="eastAsia" w:ascii="宋体" w:hAnsi="宋体"/>
                <w:szCs w:val="21"/>
              </w:rPr>
              <w:t>（2）投标文件上法定代表人或其委托代理人的签字、投标人的单位章盖章齐全，并符合招标文件规定。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（3）投标报价中的报价未超过招标文件设定的最高投标限价。</w:t>
            </w:r>
          </w:p>
          <w:p>
            <w:pPr>
              <w:tabs>
                <w:tab w:val="left" w:pos="3060"/>
              </w:tabs>
              <w:spacing w:line="320" w:lineRule="exact"/>
              <w:ind w:firstLine="105" w:firstLineChars="50"/>
              <w:rPr>
                <w:rFonts w:ascii="宋体" w:hAnsi="宋体"/>
                <w:szCs w:val="21"/>
              </w:rPr>
            </w:pPr>
            <w:r>
              <w:rPr>
                <w:rFonts w:hint="eastAsia" w:ascii="宋体" w:hAnsi="宋体"/>
                <w:szCs w:val="21"/>
              </w:rPr>
              <w:t>（4）投标报价中报价的大写金额能够确定具体数值。</w:t>
            </w:r>
          </w:p>
          <w:p>
            <w:pPr>
              <w:tabs>
                <w:tab w:val="left" w:pos="3060"/>
              </w:tabs>
              <w:spacing w:line="320" w:lineRule="exact"/>
              <w:ind w:firstLine="105" w:firstLineChars="50"/>
              <w:rPr>
                <w:rFonts w:ascii="宋体" w:hAnsi="宋体"/>
                <w:szCs w:val="21"/>
              </w:rPr>
            </w:pPr>
            <w:r>
              <w:rPr>
                <w:rFonts w:hint="eastAsia" w:ascii="宋体" w:hAnsi="宋体"/>
                <w:szCs w:val="21"/>
              </w:rPr>
              <w:t>（5）同一投标人未提交两个以上不同的投标报价。</w:t>
            </w:r>
          </w:p>
          <w:p>
            <w:pPr>
              <w:tabs>
                <w:tab w:val="left" w:pos="3060"/>
              </w:tabs>
              <w:spacing w:line="320" w:lineRule="exact"/>
              <w:ind w:firstLine="105" w:firstLineChars="50"/>
              <w:rPr>
                <w:rFonts w:ascii="宋体" w:hAnsi="宋体"/>
                <w:szCs w:val="21"/>
              </w:rPr>
            </w:pPr>
            <w:r>
              <w:rPr>
                <w:rFonts w:hint="eastAsia" w:ascii="宋体" w:hAnsi="宋体"/>
                <w:szCs w:val="21"/>
              </w:rPr>
              <w:t>（6）投标人按照招标人给定的工程量清单编制已标价工程量清单。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2.1.2</w:t>
            </w: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资格评审标准</w:t>
            </w:r>
          </w:p>
        </w:tc>
        <w:tc>
          <w:tcPr>
            <w:tcW w:w="7353" w:type="dxa"/>
            <w:tcBorders>
              <w:top w:val="single" w:color="auto" w:sz="4" w:space="0"/>
              <w:left w:val="single" w:color="auto" w:sz="4" w:space="0"/>
              <w:bottom w:val="single" w:color="auto" w:sz="4" w:space="0"/>
              <w:right w:val="single" w:color="auto" w:sz="4" w:space="0"/>
            </w:tcBorders>
          </w:tcPr>
          <w:p>
            <w:pPr>
              <w:tabs>
                <w:tab w:val="left" w:pos="3060"/>
              </w:tabs>
              <w:spacing w:line="320" w:lineRule="exact"/>
              <w:ind w:firstLine="210" w:firstLineChars="100"/>
              <w:rPr>
                <w:rFonts w:ascii="宋体" w:hAnsi="宋体"/>
                <w:szCs w:val="21"/>
              </w:rPr>
            </w:pPr>
            <w:r>
              <w:rPr>
                <w:rFonts w:hint="eastAsia" w:ascii="宋体" w:hAnsi="宋体"/>
                <w:szCs w:val="21"/>
              </w:rPr>
              <w:t>（1）投标人具备有效的营业执照或法人证书、组织机构代码证（三证合一的不需要提供）、资质证书和基本存款账户的开户许可证或开户行出具的基本存款账户信息；</w:t>
            </w:r>
          </w:p>
          <w:p>
            <w:pPr>
              <w:tabs>
                <w:tab w:val="left" w:pos="3060"/>
              </w:tabs>
              <w:spacing w:line="320" w:lineRule="exact"/>
              <w:ind w:firstLine="210" w:firstLineChars="10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 xml:space="preserve">（5）投标人的项目经理资格、在岗情况符合招标文件规定；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tc>
      </w:tr>
    </w:tbl>
    <w:p>
      <w:pPr>
        <w:rPr>
          <w:rFonts w:ascii="宋体" w:hAnsi="宋体"/>
        </w:rPr>
      </w:pPr>
      <w:r>
        <w:rPr>
          <w:rFonts w:hint="eastAsia" w:ascii="宋体" w:hAnsi="宋体"/>
        </w:rPr>
        <w:br w:type="page"/>
      </w:r>
    </w:p>
    <w:p>
      <w:pPr>
        <w:jc w:val="right"/>
        <w:rPr>
          <w:rFonts w:ascii="宋体" w:hAnsi="宋体"/>
          <w:sz w:val="24"/>
        </w:rPr>
      </w:pPr>
      <w:r>
        <w:rPr>
          <w:rFonts w:hint="eastAsia" w:ascii="宋体" w:hAnsi="宋体"/>
          <w:sz w:val="24"/>
        </w:rPr>
        <w:t>续上表</w:t>
      </w:r>
    </w:p>
    <w:tbl>
      <w:tblPr>
        <w:tblStyle w:val="3"/>
        <w:tblW w:w="945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80"/>
        <w:gridCol w:w="764"/>
        <w:gridCol w:w="425"/>
        <w:gridCol w:w="1419"/>
        <w:gridCol w:w="853"/>
        <w:gridCol w:w="39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008" w:type="dxa"/>
            <w:tcBorders>
              <w:top w:val="single" w:color="000000" w:sz="12" w:space="0"/>
              <w:left w:val="single" w:color="000000" w:sz="12" w:space="0"/>
              <w:bottom w:val="single" w:color="000000" w:sz="6" w:space="0"/>
              <w:right w:val="single" w:color="000000" w:sz="6" w:space="0"/>
            </w:tcBorders>
            <w:vAlign w:val="center"/>
          </w:tcPr>
          <w:p>
            <w:pPr>
              <w:spacing w:line="360" w:lineRule="exact"/>
              <w:jc w:val="center"/>
              <w:rPr>
                <w:rFonts w:ascii="宋体" w:hAnsi="宋体"/>
                <w:b/>
                <w:szCs w:val="21"/>
              </w:rPr>
            </w:pPr>
            <w:r>
              <w:rPr>
                <w:rFonts w:hint="eastAsia" w:ascii="宋体" w:hAnsi="宋体"/>
                <w:b/>
                <w:szCs w:val="21"/>
              </w:rPr>
              <w:t>条款号</w:t>
            </w:r>
          </w:p>
        </w:tc>
        <w:tc>
          <w:tcPr>
            <w:tcW w:w="1842" w:type="dxa"/>
            <w:gridSpan w:val="2"/>
            <w:tcBorders>
              <w:top w:val="single" w:color="000000" w:sz="12" w:space="0"/>
              <w:left w:val="single" w:color="000000" w:sz="6" w:space="0"/>
              <w:bottom w:val="single" w:color="000000" w:sz="6" w:space="0"/>
              <w:right w:val="single" w:color="000000" w:sz="6" w:space="0"/>
            </w:tcBorders>
            <w:vAlign w:val="center"/>
          </w:tcPr>
          <w:p>
            <w:pPr>
              <w:spacing w:line="360" w:lineRule="exact"/>
              <w:jc w:val="center"/>
              <w:rPr>
                <w:rFonts w:ascii="宋体" w:hAnsi="宋体"/>
                <w:b/>
                <w:szCs w:val="21"/>
              </w:rPr>
            </w:pPr>
            <w:r>
              <w:rPr>
                <w:rFonts w:hint="eastAsia" w:ascii="宋体" w:hAnsi="宋体"/>
                <w:b/>
                <w:szCs w:val="21"/>
              </w:rPr>
              <w:t>条款内容</w:t>
            </w:r>
          </w:p>
        </w:tc>
        <w:tc>
          <w:tcPr>
            <w:tcW w:w="6593" w:type="dxa"/>
            <w:gridSpan w:val="4"/>
            <w:tcBorders>
              <w:top w:val="single" w:color="000000" w:sz="12" w:space="0"/>
              <w:left w:val="single" w:color="000000" w:sz="6" w:space="0"/>
              <w:bottom w:val="single" w:color="000000" w:sz="6" w:space="0"/>
              <w:right w:val="single" w:color="000000" w:sz="12" w:space="0"/>
            </w:tcBorders>
            <w:vAlign w:val="center"/>
          </w:tcPr>
          <w:p>
            <w:pPr>
              <w:spacing w:line="360" w:lineRule="exact"/>
              <w:jc w:val="center"/>
              <w:rPr>
                <w:rFonts w:ascii="宋体" w:hAnsi="宋体"/>
                <w:b/>
                <w:szCs w:val="21"/>
              </w:rPr>
            </w:pPr>
            <w:r>
              <w:rPr>
                <w:rFonts w:hint="eastAsia" w:ascii="宋体" w:hAnsi="宋体"/>
                <w:b/>
                <w:szCs w:val="21"/>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1008" w:type="dxa"/>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szCs w:val="21"/>
              </w:rPr>
            </w:pPr>
            <w:r>
              <w:rPr>
                <w:rFonts w:hint="eastAsia" w:ascii="宋体" w:hAnsi="宋体"/>
                <w:szCs w:val="21"/>
              </w:rPr>
              <w:t>2.2.1</w:t>
            </w:r>
          </w:p>
        </w:tc>
        <w:tc>
          <w:tcPr>
            <w:tcW w:w="1842"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exact"/>
              <w:ind w:left="113" w:right="113"/>
              <w:jc w:val="center"/>
              <w:rPr>
                <w:rFonts w:ascii="宋体" w:hAnsi="宋体"/>
                <w:szCs w:val="21"/>
              </w:rPr>
            </w:pPr>
            <w:r>
              <w:rPr>
                <w:rFonts w:hint="eastAsia" w:ascii="宋体" w:hAnsi="宋体"/>
                <w:szCs w:val="21"/>
              </w:rPr>
              <w:t>第一个信封评分分值构成</w:t>
            </w:r>
          </w:p>
          <w:p>
            <w:pPr>
              <w:spacing w:line="360" w:lineRule="exact"/>
              <w:ind w:right="113"/>
              <w:jc w:val="center"/>
              <w:rPr>
                <w:rFonts w:ascii="宋体" w:hAnsi="宋体"/>
              </w:rPr>
            </w:pPr>
            <w:r>
              <w:rPr>
                <w:rFonts w:hint="eastAsia" w:ascii="宋体" w:hAnsi="宋体"/>
                <w:szCs w:val="21"/>
              </w:rPr>
              <w:t>(总分100分)</w:t>
            </w:r>
          </w:p>
        </w:tc>
        <w:tc>
          <w:tcPr>
            <w:tcW w:w="6593" w:type="dxa"/>
            <w:gridSpan w:val="4"/>
            <w:tcBorders>
              <w:top w:val="single" w:color="000000" w:sz="6" w:space="0"/>
              <w:left w:val="single" w:color="000000" w:sz="6" w:space="0"/>
              <w:bottom w:val="single" w:color="000000" w:sz="6" w:space="0"/>
              <w:right w:val="single" w:color="000000" w:sz="12" w:space="0"/>
            </w:tcBorders>
            <w:vAlign w:val="center"/>
          </w:tcPr>
          <w:p>
            <w:pPr>
              <w:spacing w:line="360" w:lineRule="exact"/>
              <w:ind w:right="113"/>
              <w:rPr>
                <w:rFonts w:ascii="宋体" w:hAnsi="宋体"/>
              </w:rPr>
            </w:pPr>
            <w:r>
              <w:rPr>
                <w:rFonts w:hint="eastAsia" w:ascii="宋体" w:hAnsi="宋体"/>
              </w:rPr>
              <w:t>施工</w:t>
            </w:r>
            <w:r>
              <w:rPr>
                <w:rFonts w:hint="eastAsia" w:ascii="宋体" w:hAnsi="宋体"/>
                <w:spacing w:val="-3"/>
              </w:rPr>
              <w:t>组</w:t>
            </w:r>
            <w:r>
              <w:rPr>
                <w:rFonts w:hint="eastAsia" w:ascii="宋体" w:hAnsi="宋体"/>
              </w:rPr>
              <w:t>织</w:t>
            </w:r>
            <w:r>
              <w:rPr>
                <w:rFonts w:hint="eastAsia" w:ascii="宋体" w:hAnsi="宋体"/>
                <w:spacing w:val="-3"/>
              </w:rPr>
              <w:t>设</w:t>
            </w:r>
            <w:r>
              <w:rPr>
                <w:rFonts w:hint="eastAsia" w:ascii="宋体" w:hAnsi="宋体"/>
              </w:rPr>
              <w:t>计</w:t>
            </w:r>
            <w:r>
              <w:rPr>
                <w:rFonts w:hint="eastAsia" w:ascii="宋体" w:hAnsi="宋体"/>
                <w:spacing w:val="-3"/>
              </w:rPr>
              <w:t>：50</w:t>
            </w:r>
            <w:r>
              <w:rPr>
                <w:rFonts w:hint="eastAsia" w:ascii="宋体" w:hAnsi="宋体"/>
              </w:rPr>
              <w:t>分</w:t>
            </w:r>
          </w:p>
          <w:p>
            <w:pPr>
              <w:spacing w:line="360" w:lineRule="exact"/>
              <w:ind w:right="113"/>
              <w:rPr>
                <w:rFonts w:ascii="宋体" w:hAnsi="宋体"/>
              </w:rPr>
            </w:pPr>
            <w:r>
              <w:rPr>
                <w:rFonts w:hint="eastAsia" w:ascii="宋体" w:hAnsi="宋体"/>
              </w:rPr>
              <w:t>主要</w:t>
            </w:r>
            <w:r>
              <w:rPr>
                <w:rFonts w:hint="eastAsia" w:ascii="宋体" w:hAnsi="宋体"/>
                <w:spacing w:val="-3"/>
              </w:rPr>
              <w:t>人</w:t>
            </w:r>
            <w:r>
              <w:rPr>
                <w:rFonts w:hint="eastAsia" w:ascii="宋体" w:hAnsi="宋体"/>
              </w:rPr>
              <w:t>员</w:t>
            </w:r>
            <w:r>
              <w:rPr>
                <w:rFonts w:hint="eastAsia" w:ascii="宋体" w:hAnsi="宋体"/>
                <w:spacing w:val="-3"/>
              </w:rPr>
              <w:t xml:space="preserve">：25 </w:t>
            </w:r>
            <w:r>
              <w:rPr>
                <w:rFonts w:hint="eastAsia" w:ascii="宋体" w:hAnsi="宋体"/>
              </w:rPr>
              <w:t>分</w:t>
            </w:r>
          </w:p>
          <w:p>
            <w:pPr>
              <w:spacing w:line="360" w:lineRule="exact"/>
              <w:ind w:right="113"/>
              <w:rPr>
                <w:rFonts w:ascii="宋体" w:hAnsi="宋体"/>
              </w:rPr>
            </w:pPr>
            <w:r>
              <w:rPr>
                <w:rFonts w:hint="eastAsia" w:ascii="宋体" w:hAnsi="宋体"/>
              </w:rPr>
              <w:t xml:space="preserve">其他因素：25分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2" w:hRule="atLeast"/>
          <w:jc w:val="center"/>
        </w:trPr>
        <w:tc>
          <w:tcPr>
            <w:tcW w:w="1008" w:type="dxa"/>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szCs w:val="21"/>
              </w:rPr>
            </w:pPr>
            <w:r>
              <w:rPr>
                <w:rFonts w:hint="eastAsia" w:ascii="宋体" w:hAnsi="宋体"/>
                <w:szCs w:val="21"/>
              </w:rPr>
              <w:t>2.2.3</w:t>
            </w:r>
          </w:p>
        </w:tc>
        <w:tc>
          <w:tcPr>
            <w:tcW w:w="1842" w:type="dxa"/>
            <w:gridSpan w:val="2"/>
            <w:tcBorders>
              <w:top w:val="single" w:color="000000" w:sz="6" w:space="0"/>
              <w:left w:val="single" w:color="000000" w:sz="6" w:space="0"/>
              <w:bottom w:val="single" w:color="000000" w:sz="6" w:space="0"/>
              <w:right w:val="single" w:color="000000" w:sz="6" w:space="0"/>
            </w:tcBorders>
            <w:vAlign w:val="center"/>
          </w:tcPr>
          <w:p>
            <w:pPr>
              <w:pStyle w:val="5"/>
              <w:spacing w:line="360" w:lineRule="exact"/>
              <w:ind w:left="112" w:right="99"/>
              <w:jc w:val="center"/>
              <w:rPr>
                <w:sz w:val="21"/>
              </w:rPr>
            </w:pPr>
            <w:r>
              <w:rPr>
                <w:rFonts w:hint="eastAsia"/>
                <w:sz w:val="21"/>
              </w:rPr>
              <w:t>第二个信封详细评审标准</w:t>
            </w:r>
          </w:p>
        </w:tc>
        <w:tc>
          <w:tcPr>
            <w:tcW w:w="6593" w:type="dxa"/>
            <w:gridSpan w:val="4"/>
            <w:tcBorders>
              <w:top w:val="single" w:color="000000" w:sz="6" w:space="0"/>
              <w:left w:val="single" w:color="000000" w:sz="6" w:space="0"/>
              <w:bottom w:val="single" w:color="000000" w:sz="6" w:space="0"/>
              <w:right w:val="single" w:color="000000" w:sz="12" w:space="0"/>
            </w:tcBorders>
            <w:vAlign w:val="center"/>
          </w:tcPr>
          <w:p>
            <w:pPr>
              <w:pStyle w:val="5"/>
              <w:spacing w:before="89" w:line="360" w:lineRule="exact"/>
              <w:ind w:left="104"/>
              <w:rPr>
                <w:sz w:val="21"/>
              </w:rPr>
            </w:pPr>
            <w:r>
              <w:rPr>
                <w:rFonts w:hint="eastAsia"/>
                <w:sz w:val="21"/>
              </w:rPr>
              <w:t>评标价计算公式：</w:t>
            </w:r>
          </w:p>
          <w:p>
            <w:pPr>
              <w:pStyle w:val="5"/>
              <w:spacing w:before="91" w:line="360" w:lineRule="exact"/>
              <w:ind w:left="104" w:right="96" w:firstLine="420"/>
              <w:rPr>
                <w:sz w:val="21"/>
              </w:rPr>
            </w:pPr>
            <w:r>
              <w:rPr>
                <w:rFonts w:hint="eastAsia"/>
                <w:sz w:val="21"/>
              </w:rPr>
              <w:t>评标价=投标函文字报价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8" w:hRule="atLeast"/>
          <w:jc w:val="center"/>
        </w:trPr>
        <w:tc>
          <w:tcPr>
            <w:tcW w:w="1008" w:type="dxa"/>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szCs w:val="21"/>
              </w:rPr>
            </w:pPr>
            <w:r>
              <w:rPr>
                <w:rFonts w:hint="eastAsia" w:ascii="宋体" w:hAnsi="宋体"/>
                <w:szCs w:val="21"/>
              </w:rPr>
              <w:t>3.2.4</w:t>
            </w:r>
          </w:p>
        </w:tc>
        <w:tc>
          <w:tcPr>
            <w:tcW w:w="1842" w:type="dxa"/>
            <w:gridSpan w:val="2"/>
            <w:tcBorders>
              <w:top w:val="single" w:color="000000" w:sz="6" w:space="0"/>
              <w:left w:val="single" w:color="000000" w:sz="6" w:space="0"/>
              <w:bottom w:val="single" w:color="000000" w:sz="6" w:space="0"/>
              <w:right w:val="single" w:color="000000" w:sz="6" w:space="0"/>
            </w:tcBorders>
            <w:vAlign w:val="center"/>
          </w:tcPr>
          <w:p>
            <w:pPr>
              <w:pStyle w:val="5"/>
              <w:spacing w:before="1" w:line="360" w:lineRule="exact"/>
              <w:jc w:val="center"/>
              <w:rPr>
                <w:sz w:val="21"/>
              </w:rPr>
            </w:pPr>
            <w:r>
              <w:rPr>
                <w:rFonts w:hint="eastAsia"/>
                <w:sz w:val="21"/>
              </w:rPr>
              <w:t>通过第一个信封</w:t>
            </w:r>
          </w:p>
          <w:p>
            <w:pPr>
              <w:pStyle w:val="5"/>
              <w:spacing w:before="1" w:line="360" w:lineRule="exact"/>
              <w:jc w:val="center"/>
              <w:rPr>
                <w:sz w:val="20"/>
              </w:rPr>
            </w:pPr>
            <w:r>
              <w:rPr>
                <w:rFonts w:hint="eastAsia"/>
                <w:sz w:val="21"/>
              </w:rPr>
              <w:t>详细评审的投标人数量</w:t>
            </w:r>
          </w:p>
        </w:tc>
        <w:tc>
          <w:tcPr>
            <w:tcW w:w="6593" w:type="dxa"/>
            <w:gridSpan w:val="4"/>
            <w:tcBorders>
              <w:top w:val="single" w:color="000000" w:sz="6" w:space="0"/>
              <w:left w:val="single" w:color="000000" w:sz="6" w:space="0"/>
              <w:bottom w:val="single" w:color="000000" w:sz="6" w:space="0"/>
              <w:right w:val="single" w:color="000000" w:sz="12" w:space="0"/>
            </w:tcBorders>
            <w:vAlign w:val="center"/>
          </w:tcPr>
          <w:p>
            <w:pPr>
              <w:pStyle w:val="5"/>
              <w:spacing w:before="89" w:line="360" w:lineRule="exact"/>
              <w:ind w:left="104"/>
              <w:rPr>
                <w:sz w:val="21"/>
              </w:rPr>
            </w:pPr>
            <w:r>
              <w:rPr>
                <w:rFonts w:hint="eastAsia"/>
                <w:sz w:val="21"/>
              </w:rPr>
              <w:t>按照投标人的商务和技术得分由高到低排序，选择</w:t>
            </w:r>
            <w:r>
              <w:rPr>
                <w:rFonts w:hint="eastAsia"/>
                <w:spacing w:val="2"/>
                <w:sz w:val="21"/>
              </w:rPr>
              <w:t>前</w:t>
            </w:r>
            <w:r>
              <w:rPr>
                <w:rFonts w:hint="eastAsia"/>
                <w:spacing w:val="2"/>
                <w:sz w:val="21"/>
                <w:u w:val="single"/>
              </w:rPr>
              <w:t xml:space="preserve"> 3 </w:t>
            </w:r>
            <w:r>
              <w:rPr>
                <w:rFonts w:hint="eastAsia"/>
                <w:spacing w:val="2"/>
                <w:sz w:val="21"/>
              </w:rPr>
              <w:t>名</w:t>
            </w:r>
            <w:r>
              <w:rPr>
                <w:rFonts w:hint="eastAsia"/>
                <w:sz w:val="21"/>
              </w:rPr>
              <w:t>通过详</w:t>
            </w:r>
            <w:r>
              <w:rPr>
                <w:rFonts w:hint="eastAsia"/>
                <w:spacing w:val="-3"/>
                <w:sz w:val="21"/>
              </w:rPr>
              <w:t>细</w:t>
            </w:r>
            <w:r>
              <w:rPr>
                <w:rFonts w:hint="eastAsia"/>
                <w:sz w:val="21"/>
              </w:rPr>
              <w:t>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5545" w:type="dxa"/>
            <w:gridSpan w:val="6"/>
            <w:tcBorders>
              <w:top w:val="single" w:color="000000" w:sz="6" w:space="0"/>
              <w:left w:val="single" w:color="000000" w:sz="12" w:space="0"/>
              <w:bottom w:val="single" w:color="000000" w:sz="6" w:space="0"/>
              <w:right w:val="single" w:color="auto" w:sz="4" w:space="0"/>
            </w:tcBorders>
            <w:vAlign w:val="center"/>
          </w:tcPr>
          <w:p>
            <w:pPr>
              <w:pStyle w:val="5"/>
              <w:spacing w:before="89" w:line="360" w:lineRule="exact"/>
              <w:ind w:left="104"/>
              <w:jc w:val="center"/>
              <w:rPr>
                <w:sz w:val="21"/>
              </w:rPr>
            </w:pPr>
            <w:r>
              <w:rPr>
                <w:rFonts w:hint="eastAsia"/>
                <w:b/>
                <w:sz w:val="21"/>
              </w:rPr>
              <w:t>评分因素与权重分值</w:t>
            </w:r>
          </w:p>
        </w:tc>
        <w:tc>
          <w:tcPr>
            <w:tcW w:w="3898" w:type="dxa"/>
            <w:vMerge w:val="restart"/>
            <w:tcBorders>
              <w:top w:val="single" w:color="000000" w:sz="6" w:space="0"/>
              <w:left w:val="single" w:color="auto" w:sz="4" w:space="0"/>
              <w:bottom w:val="single" w:color="000000" w:sz="6" w:space="0"/>
              <w:right w:val="single" w:color="000000" w:sz="12" w:space="0"/>
            </w:tcBorders>
            <w:vAlign w:val="center"/>
          </w:tcPr>
          <w:p>
            <w:pPr>
              <w:pStyle w:val="5"/>
              <w:spacing w:before="89" w:line="360" w:lineRule="exact"/>
              <w:jc w:val="center"/>
              <w:rPr>
                <w:sz w:val="21"/>
              </w:rPr>
            </w:pPr>
            <w:r>
              <w:rPr>
                <w:rFonts w:hint="eastAsia"/>
                <w:b/>
                <w:sz w:val="21"/>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08" w:type="dxa"/>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b/>
                <w:szCs w:val="21"/>
              </w:rPr>
            </w:pPr>
            <w:r>
              <w:rPr>
                <w:rFonts w:hint="eastAsia" w:ascii="宋体" w:hAnsi="宋体"/>
                <w:b/>
                <w:szCs w:val="21"/>
              </w:rPr>
              <w:t>条款号</w:t>
            </w:r>
          </w:p>
        </w:tc>
        <w:tc>
          <w:tcPr>
            <w:tcW w:w="1079" w:type="dxa"/>
            <w:tcBorders>
              <w:top w:val="single" w:color="000000" w:sz="6" w:space="0"/>
              <w:left w:val="single" w:color="000000" w:sz="6" w:space="0"/>
              <w:bottom w:val="single" w:color="000000" w:sz="6" w:space="0"/>
              <w:right w:val="single" w:color="auto" w:sz="4" w:space="0"/>
            </w:tcBorders>
            <w:vAlign w:val="center"/>
          </w:tcPr>
          <w:p>
            <w:pPr>
              <w:pStyle w:val="5"/>
              <w:spacing w:before="41" w:line="360" w:lineRule="exact"/>
              <w:ind w:left="93" w:right="83"/>
              <w:jc w:val="center"/>
              <w:rPr>
                <w:rFonts w:cs="Times New Roman"/>
                <w:b/>
                <w:kern w:val="2"/>
                <w:sz w:val="21"/>
                <w:szCs w:val="21"/>
                <w:lang w:val="en-US" w:bidi="ar-SA"/>
              </w:rPr>
            </w:pPr>
            <w:r>
              <w:rPr>
                <w:rFonts w:hint="eastAsia" w:cs="Times New Roman"/>
                <w:b/>
                <w:kern w:val="2"/>
                <w:sz w:val="21"/>
                <w:szCs w:val="21"/>
                <w:lang w:val="en-US" w:bidi="ar-SA"/>
              </w:rPr>
              <w:t>评分因素</w:t>
            </w:r>
          </w:p>
        </w:tc>
        <w:tc>
          <w:tcPr>
            <w:tcW w:w="1188" w:type="dxa"/>
            <w:gridSpan w:val="2"/>
            <w:tcBorders>
              <w:top w:val="single" w:color="000000" w:sz="6" w:space="0"/>
              <w:left w:val="single" w:color="auto" w:sz="4" w:space="0"/>
              <w:bottom w:val="single" w:color="000000" w:sz="6" w:space="0"/>
              <w:right w:val="single" w:color="000000" w:sz="6" w:space="0"/>
            </w:tcBorders>
            <w:vAlign w:val="center"/>
          </w:tcPr>
          <w:p>
            <w:pPr>
              <w:pStyle w:val="5"/>
              <w:spacing w:before="41" w:line="360" w:lineRule="exact"/>
              <w:ind w:left="93" w:right="83"/>
              <w:jc w:val="center"/>
              <w:rPr>
                <w:rFonts w:cs="Times New Roman"/>
                <w:b/>
                <w:kern w:val="2"/>
                <w:sz w:val="21"/>
                <w:szCs w:val="21"/>
                <w:lang w:val="en-US" w:bidi="ar-SA"/>
              </w:rPr>
            </w:pPr>
            <w:r>
              <w:rPr>
                <w:rFonts w:hint="eastAsia" w:cs="Times New Roman"/>
                <w:b/>
                <w:kern w:val="2"/>
                <w:sz w:val="21"/>
                <w:szCs w:val="21"/>
                <w:lang w:val="en-US" w:bidi="ar-SA"/>
              </w:rPr>
              <w:t>评分因素权重分值</w:t>
            </w:r>
          </w:p>
        </w:tc>
        <w:tc>
          <w:tcPr>
            <w:tcW w:w="1418" w:type="dxa"/>
            <w:tcBorders>
              <w:top w:val="single" w:color="000000" w:sz="6" w:space="0"/>
              <w:left w:val="single" w:color="000000" w:sz="6" w:space="0"/>
              <w:bottom w:val="single" w:color="000000" w:sz="6" w:space="0"/>
              <w:right w:val="single" w:color="auto" w:sz="4" w:space="0"/>
            </w:tcBorders>
            <w:vAlign w:val="center"/>
          </w:tcPr>
          <w:p>
            <w:pPr>
              <w:pStyle w:val="5"/>
              <w:spacing w:before="41" w:line="360" w:lineRule="exact"/>
              <w:ind w:left="93" w:right="83"/>
              <w:jc w:val="center"/>
              <w:rPr>
                <w:rFonts w:cs="Times New Roman"/>
                <w:b/>
                <w:kern w:val="2"/>
                <w:sz w:val="21"/>
                <w:szCs w:val="21"/>
                <w:lang w:val="en-US" w:bidi="ar-SA"/>
              </w:rPr>
            </w:pPr>
            <w:r>
              <w:rPr>
                <w:rFonts w:hint="eastAsia" w:cs="Times New Roman"/>
                <w:b/>
                <w:kern w:val="2"/>
                <w:sz w:val="21"/>
                <w:szCs w:val="21"/>
                <w:lang w:val="en-US" w:bidi="ar-SA"/>
              </w:rPr>
              <w:t>各评分因素细分项</w:t>
            </w: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before="1" w:line="360" w:lineRule="exact"/>
              <w:jc w:val="center"/>
              <w:rPr>
                <w:rFonts w:cs="Times New Roman"/>
                <w:b/>
                <w:kern w:val="2"/>
                <w:sz w:val="21"/>
                <w:szCs w:val="21"/>
                <w:lang w:val="en-US" w:bidi="ar-SA"/>
              </w:rPr>
            </w:pPr>
            <w:r>
              <w:rPr>
                <w:rFonts w:hint="eastAsia" w:cs="Times New Roman"/>
                <w:b/>
                <w:kern w:val="2"/>
                <w:sz w:val="21"/>
                <w:szCs w:val="21"/>
                <w:lang w:val="en-US" w:bidi="ar-SA"/>
              </w:rPr>
              <w:t>分值</w:t>
            </w:r>
          </w:p>
        </w:tc>
        <w:tc>
          <w:tcPr>
            <w:tcW w:w="4198" w:type="dxa"/>
            <w:vMerge w:val="continue"/>
            <w:tcBorders>
              <w:top w:val="single" w:color="000000" w:sz="6" w:space="0"/>
              <w:left w:val="single" w:color="auto" w:sz="4" w:space="0"/>
              <w:bottom w:val="single" w:color="000000" w:sz="6" w:space="0"/>
              <w:right w:val="single" w:color="000000" w:sz="12" w:space="0"/>
            </w:tcBorders>
            <w:vAlign w:val="center"/>
          </w:tcPr>
          <w:p>
            <w:pPr>
              <w:widowControl/>
              <w:jc w:val="left"/>
              <w:rPr>
                <w:rFonts w:ascii="宋体" w:hAnsi="宋体" w:cs="宋体"/>
                <w:kern w:val="0"/>
                <w:szCs w:val="22"/>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1008" w:type="dxa"/>
            <w:vMerge w:val="restart"/>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b/>
                <w:szCs w:val="21"/>
              </w:rPr>
            </w:pPr>
            <w:r>
              <w:rPr>
                <w:rFonts w:hint="eastAsia" w:ascii="宋体" w:hAnsi="宋体"/>
                <w:b/>
                <w:szCs w:val="21"/>
              </w:rPr>
              <w:t>2.2.2(1)</w:t>
            </w:r>
          </w:p>
        </w:tc>
        <w:tc>
          <w:tcPr>
            <w:tcW w:w="1079"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施工组织设计</w:t>
            </w:r>
          </w:p>
        </w:tc>
        <w:tc>
          <w:tcPr>
            <w:tcW w:w="1188" w:type="dxa"/>
            <w:gridSpan w:val="2"/>
            <w:vMerge w:val="restart"/>
            <w:tcBorders>
              <w:top w:val="single" w:color="000000" w:sz="6" w:space="0"/>
              <w:left w:val="single" w:color="auto" w:sz="4" w:space="0"/>
              <w:bottom w:val="single" w:color="000000" w:sz="6" w:space="0"/>
              <w:right w:val="single" w:color="000000" w:sz="6" w:space="0"/>
            </w:tcBorders>
            <w:vAlign w:val="center"/>
          </w:tcPr>
          <w:p>
            <w:pPr>
              <w:pStyle w:val="5"/>
              <w:spacing w:before="42" w:line="360" w:lineRule="exact"/>
              <w:ind w:right="99"/>
              <w:jc w:val="center"/>
              <w:rPr>
                <w:sz w:val="21"/>
                <w:szCs w:val="21"/>
              </w:rPr>
            </w:pPr>
            <w:r>
              <w:rPr>
                <w:rFonts w:hint="eastAsia"/>
                <w:sz w:val="21"/>
                <w:szCs w:val="21"/>
              </w:rPr>
              <w:t>50分</w:t>
            </w: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施工组织布置及规划</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6-10</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内容较具体、较齐全，规划较合理，得6.0-8.0分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内容齐全，规划合理，得8.0－10分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施工方案</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6-10</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方案较具体、较齐全、较合理，得6.0-8.0分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方案具体、齐全，可操作性强，配备合理，得8.0－10分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cs="Courier New"/>
                <w:szCs w:val="21"/>
              </w:rPr>
              <w:t>工期保证体系及保证措施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3-5</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措施较具体、较齐全、较合理，得3.0-4.0分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措施具体、齐全、合理，得4.0－5分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工程质量管理体系及保证措施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6-10</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措施较具体、较齐全、较合理，得6.0-8.0分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措施具体、齐全、合理，得8.0－10分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安全生产管理体系及保证措施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3-5</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措施较具体、较齐全、较合理，得3.0-4.0分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措施具体、齐全、合理，得4.0－5分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环境保护、水土保持体系及保证措施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3-5</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措施较具体、较齐全、较合理，得3.0-4.0分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措施具体、齐全、合理，得4.0－5分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项目风险预测与防范，事故应急预案</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Cs w:val="21"/>
              </w:rPr>
              <w:t>3-5</w:t>
            </w: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内容较具体、较齐全，操作性较强，得3.0-4.0分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auto" w:sz="4"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3898" w:type="dxa"/>
            <w:tcBorders>
              <w:top w:val="single" w:color="000000" w:sz="6" w:space="0"/>
              <w:left w:val="single" w:color="auto" w:sz="4" w:space="0"/>
              <w:bottom w:val="single" w:color="000000" w:sz="6" w:space="0"/>
              <w:right w:val="single" w:color="000000" w:sz="1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内容齐全，规划合理，操作性强，得4.0－5分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1008" w:type="dxa"/>
            <w:vMerge w:val="restart"/>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b/>
                <w:szCs w:val="21"/>
              </w:rPr>
            </w:pPr>
            <w:r>
              <w:rPr>
                <w:rFonts w:hint="eastAsia" w:ascii="宋体" w:hAnsi="宋体"/>
                <w:b/>
                <w:szCs w:val="21"/>
              </w:rPr>
              <w:t>2.2.2(2)</w:t>
            </w:r>
          </w:p>
        </w:tc>
        <w:tc>
          <w:tcPr>
            <w:tcW w:w="1079"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主要人员</w:t>
            </w:r>
          </w:p>
        </w:tc>
        <w:tc>
          <w:tcPr>
            <w:tcW w:w="1188" w:type="dxa"/>
            <w:gridSpan w:val="2"/>
            <w:vMerge w:val="restart"/>
            <w:tcBorders>
              <w:top w:val="single" w:color="000000" w:sz="6" w:space="0"/>
              <w:left w:val="single" w:color="auto" w:sz="4" w:space="0"/>
              <w:bottom w:val="single" w:color="000000" w:sz="6" w:space="0"/>
              <w:right w:val="single" w:color="000000" w:sz="6" w:space="0"/>
            </w:tcBorders>
            <w:vAlign w:val="center"/>
          </w:tcPr>
          <w:p>
            <w:pPr>
              <w:pStyle w:val="5"/>
              <w:spacing w:before="42" w:line="360" w:lineRule="exact"/>
              <w:ind w:right="99"/>
              <w:jc w:val="center"/>
              <w:rPr>
                <w:sz w:val="21"/>
                <w:szCs w:val="21"/>
              </w:rPr>
            </w:pPr>
            <w:r>
              <w:rPr>
                <w:rFonts w:hint="eastAsia"/>
                <w:sz w:val="21"/>
                <w:szCs w:val="21"/>
              </w:rPr>
              <w:t>25分</w:t>
            </w: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Cs w:val="21"/>
              </w:rPr>
              <w:t>项目经理</w:t>
            </w: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 w:val="21"/>
                <w:szCs w:val="21"/>
              </w:rPr>
              <w:t>15</w:t>
            </w:r>
          </w:p>
        </w:tc>
        <w:tc>
          <w:tcPr>
            <w:tcW w:w="3898" w:type="dxa"/>
            <w:tcBorders>
              <w:top w:val="single" w:color="000000" w:sz="6" w:space="0"/>
              <w:left w:val="single" w:color="auto" w:sz="4" w:space="0"/>
              <w:bottom w:val="single" w:color="000000" w:sz="6" w:space="0"/>
              <w:right w:val="single" w:color="000000" w:sz="12" w:space="0"/>
            </w:tcBorders>
            <w:vAlign w:val="center"/>
          </w:tcPr>
          <w:p>
            <w:pPr>
              <w:pStyle w:val="5"/>
              <w:spacing w:line="300" w:lineRule="exact"/>
              <w:rPr>
                <w:sz w:val="21"/>
                <w:szCs w:val="21"/>
              </w:rPr>
            </w:pPr>
            <w:r>
              <w:rPr>
                <w:rFonts w:hint="eastAsia"/>
                <w:sz w:val="21"/>
                <w:szCs w:val="21"/>
              </w:rPr>
              <w:t>满足资格审查条件项目经理最低要求得15分。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cs="宋体"/>
                <w:kern w:val="0"/>
                <w:szCs w:val="21"/>
                <w:lang w:val="zh-CN" w:bidi="zh-CN"/>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r>
              <w:rPr>
                <w:rFonts w:hint="eastAsia"/>
                <w:sz w:val="21"/>
                <w:szCs w:val="21"/>
              </w:rPr>
              <w:t>10</w:t>
            </w:r>
          </w:p>
        </w:tc>
        <w:tc>
          <w:tcPr>
            <w:tcW w:w="3898" w:type="dxa"/>
            <w:tcBorders>
              <w:top w:val="single" w:color="000000" w:sz="6" w:space="0"/>
              <w:left w:val="single" w:color="auto" w:sz="4" w:space="0"/>
              <w:bottom w:val="single" w:color="000000" w:sz="6" w:space="0"/>
              <w:right w:val="single" w:color="000000" w:sz="12" w:space="0"/>
            </w:tcBorders>
            <w:vAlign w:val="center"/>
          </w:tcPr>
          <w:p>
            <w:pPr>
              <w:spacing w:line="300" w:lineRule="exact"/>
              <w:jc w:val="left"/>
              <w:rPr>
                <w:rFonts w:ascii="宋体" w:hAnsi="宋体"/>
                <w:szCs w:val="21"/>
              </w:rPr>
            </w:pPr>
            <w:r>
              <w:rPr>
                <w:rFonts w:hint="eastAsia" w:ascii="宋体" w:hAnsi="宋体"/>
                <w:szCs w:val="21"/>
              </w:rPr>
              <w:t>近5年（2018年3月1日至今，以合同签订时间为准）中担任过1项110kV或以上电压等级的电力线路工程施工的项目经理，加5分，最高加10分。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1008" w:type="dxa"/>
            <w:vMerge w:val="restart"/>
            <w:tcBorders>
              <w:top w:val="single" w:color="000000" w:sz="6" w:space="0"/>
              <w:left w:val="single" w:color="000000" w:sz="12" w:space="0"/>
              <w:bottom w:val="single" w:color="000000" w:sz="6" w:space="0"/>
              <w:right w:val="single" w:color="000000" w:sz="6" w:space="0"/>
            </w:tcBorders>
            <w:vAlign w:val="center"/>
          </w:tcPr>
          <w:p>
            <w:pPr>
              <w:spacing w:line="360" w:lineRule="exact"/>
              <w:ind w:right="113"/>
              <w:jc w:val="center"/>
              <w:rPr>
                <w:rFonts w:ascii="宋体" w:hAnsi="宋体"/>
                <w:b/>
                <w:szCs w:val="21"/>
              </w:rPr>
            </w:pPr>
            <w:r>
              <w:rPr>
                <w:rFonts w:hint="eastAsia" w:ascii="宋体" w:hAnsi="宋体"/>
                <w:b/>
                <w:szCs w:val="21"/>
              </w:rPr>
              <w:t>2.2.2(3)</w:t>
            </w:r>
          </w:p>
        </w:tc>
        <w:tc>
          <w:tcPr>
            <w:tcW w:w="1079" w:type="dxa"/>
            <w:vMerge w:val="restart"/>
            <w:tcBorders>
              <w:top w:val="single" w:color="000000" w:sz="6" w:space="0"/>
              <w:left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其它因素</w:t>
            </w:r>
          </w:p>
        </w:tc>
        <w:tc>
          <w:tcPr>
            <w:tcW w:w="1188" w:type="dxa"/>
            <w:gridSpan w:val="2"/>
            <w:vMerge w:val="restart"/>
            <w:tcBorders>
              <w:top w:val="single" w:color="000000" w:sz="6" w:space="0"/>
              <w:left w:val="single" w:color="auto" w:sz="4" w:space="0"/>
              <w:bottom w:val="single" w:color="000000" w:sz="6" w:space="0"/>
              <w:right w:val="single" w:color="000000" w:sz="6" w:space="0"/>
            </w:tcBorders>
            <w:vAlign w:val="center"/>
          </w:tcPr>
          <w:p>
            <w:pPr>
              <w:spacing w:line="360" w:lineRule="exact"/>
              <w:jc w:val="center"/>
              <w:rPr>
                <w:rFonts w:ascii="宋体" w:hAnsi="宋体"/>
                <w:szCs w:val="21"/>
              </w:rPr>
            </w:pPr>
            <w:r>
              <w:rPr>
                <w:rFonts w:hint="eastAsia" w:ascii="宋体" w:hAnsi="宋体"/>
                <w:szCs w:val="21"/>
              </w:rPr>
              <w:t>25分</w:t>
            </w:r>
          </w:p>
        </w:tc>
        <w:tc>
          <w:tcPr>
            <w:tcW w:w="1418" w:type="dxa"/>
            <w:vMerge w:val="restart"/>
            <w:tcBorders>
              <w:top w:val="single" w:color="000000" w:sz="6" w:space="0"/>
              <w:left w:val="single" w:color="000000" w:sz="6" w:space="0"/>
              <w:bottom w:val="single" w:color="000000" w:sz="6"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企业业绩</w:t>
            </w:r>
          </w:p>
        </w:tc>
        <w:tc>
          <w:tcPr>
            <w:tcW w:w="852"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15</w:t>
            </w:r>
          </w:p>
        </w:tc>
        <w:tc>
          <w:tcPr>
            <w:tcW w:w="3898" w:type="dxa"/>
            <w:tcBorders>
              <w:top w:val="single" w:color="000000" w:sz="6" w:space="0"/>
              <w:left w:val="single" w:color="auto" w:sz="4" w:space="0"/>
              <w:bottom w:val="single" w:color="000000" w:sz="6" w:space="0"/>
              <w:right w:val="single" w:color="000000" w:sz="12" w:space="0"/>
            </w:tcBorders>
            <w:vAlign w:val="center"/>
          </w:tcPr>
          <w:p>
            <w:pPr>
              <w:spacing w:line="300" w:lineRule="exact"/>
              <w:jc w:val="left"/>
              <w:rPr>
                <w:rFonts w:ascii="宋体" w:hAnsi="宋体"/>
                <w:szCs w:val="21"/>
              </w:rPr>
            </w:pPr>
            <w:r>
              <w:rPr>
                <w:rFonts w:hint="eastAsia" w:ascii="宋体" w:hAnsi="宋体"/>
                <w:szCs w:val="21"/>
              </w:rPr>
              <w:t>满足资格审查条件业绩得15分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4" w:hRule="atLeast"/>
          <w:jc w:val="center"/>
        </w:trPr>
        <w:tc>
          <w:tcPr>
            <w:tcW w:w="300"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宋体"/>
                <w:b/>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cs="宋体"/>
                <w:kern w:val="0"/>
                <w:szCs w:val="21"/>
                <w:lang w:val="zh-CN" w:bidi="zh-CN"/>
              </w:rPr>
            </w:pPr>
          </w:p>
        </w:tc>
        <w:tc>
          <w:tcPr>
            <w:tcW w:w="600" w:type="dxa"/>
            <w:gridSpan w:val="2"/>
            <w:vMerge w:val="continue"/>
            <w:tcBorders>
              <w:top w:val="single" w:color="000000" w:sz="6" w:space="0"/>
              <w:left w:val="single" w:color="auto" w:sz="4" w:space="0"/>
              <w:bottom w:val="single" w:color="000000" w:sz="6" w:space="0"/>
              <w:right w:val="single" w:color="000000" w:sz="6" w:space="0"/>
            </w:tcBorders>
            <w:vAlign w:val="center"/>
          </w:tcPr>
          <w:p>
            <w:pPr>
              <w:widowControl/>
              <w:jc w:val="left"/>
              <w:rPr>
                <w:rFonts w:ascii="宋体" w:hAnsi="宋体"/>
                <w:szCs w:val="21"/>
              </w:rPr>
            </w:pPr>
          </w:p>
        </w:tc>
        <w:tc>
          <w:tcPr>
            <w:tcW w:w="300" w:type="dxa"/>
            <w:vMerge w:val="continue"/>
            <w:tcBorders>
              <w:top w:val="single" w:color="000000" w:sz="6" w:space="0"/>
              <w:left w:val="single" w:color="000000" w:sz="6" w:space="0"/>
              <w:bottom w:val="single" w:color="000000" w:sz="6" w:space="0"/>
              <w:right w:val="single" w:color="auto" w:sz="4" w:space="0"/>
            </w:tcBorders>
            <w:vAlign w:val="center"/>
          </w:tcPr>
          <w:p>
            <w:pPr>
              <w:widowControl/>
              <w:jc w:val="left"/>
              <w:rPr>
                <w:rFonts w:ascii="宋体" w:hAnsi="宋体"/>
                <w:szCs w:val="21"/>
              </w:rPr>
            </w:pPr>
          </w:p>
        </w:tc>
        <w:tc>
          <w:tcPr>
            <w:tcW w:w="852"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10</w:t>
            </w:r>
          </w:p>
        </w:tc>
        <w:tc>
          <w:tcPr>
            <w:tcW w:w="3898" w:type="dxa"/>
            <w:tcBorders>
              <w:top w:val="single" w:color="000000" w:sz="6" w:space="0"/>
              <w:left w:val="single" w:color="auto" w:sz="4" w:space="0"/>
              <w:bottom w:val="single" w:color="000000" w:sz="6" w:space="0"/>
              <w:right w:val="single" w:color="000000" w:sz="12" w:space="0"/>
            </w:tcBorders>
            <w:vAlign w:val="center"/>
          </w:tcPr>
          <w:p>
            <w:pPr>
              <w:spacing w:line="360" w:lineRule="exact"/>
              <w:jc w:val="left"/>
              <w:rPr>
                <w:rFonts w:ascii="宋体" w:hAnsi="宋体"/>
                <w:szCs w:val="21"/>
              </w:rPr>
            </w:pPr>
            <w:r>
              <w:rPr>
                <w:rFonts w:hint="eastAsia" w:ascii="宋体" w:hAnsi="宋体"/>
                <w:szCs w:val="21"/>
              </w:rPr>
              <w:t>每增加1项满足资格审查条件业绩最低要求的施工业绩，加5分，最高得10分。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80" w:hRule="atLeast"/>
          <w:jc w:val="center"/>
        </w:trPr>
        <w:tc>
          <w:tcPr>
            <w:tcW w:w="1008" w:type="dxa"/>
            <w:tcBorders>
              <w:top w:val="single" w:color="000000" w:sz="6" w:space="0"/>
              <w:left w:val="single" w:color="000000" w:sz="12" w:space="0"/>
              <w:bottom w:val="single" w:color="000000" w:sz="6" w:space="0"/>
              <w:right w:val="single" w:color="auto" w:sz="4" w:space="0"/>
            </w:tcBorders>
            <w:vAlign w:val="center"/>
          </w:tcPr>
          <w:p>
            <w:pPr>
              <w:spacing w:line="360" w:lineRule="exact"/>
              <w:ind w:right="113"/>
              <w:jc w:val="center"/>
              <w:rPr>
                <w:rFonts w:ascii="宋体" w:hAnsi="宋体"/>
                <w:szCs w:val="21"/>
              </w:rPr>
            </w:pPr>
            <w:r>
              <w:rPr>
                <w:rFonts w:hint="eastAsia" w:ascii="宋体" w:hAnsi="宋体"/>
                <w:szCs w:val="21"/>
              </w:rPr>
              <w:t>3.3.2至3.3.5</w:t>
            </w:r>
          </w:p>
        </w:tc>
        <w:tc>
          <w:tcPr>
            <w:tcW w:w="8435" w:type="dxa"/>
            <w:gridSpan w:val="6"/>
            <w:tcBorders>
              <w:top w:val="single" w:color="000000" w:sz="6" w:space="0"/>
              <w:left w:val="single" w:color="auto" w:sz="4" w:space="0"/>
              <w:bottom w:val="single" w:color="000000" w:sz="6" w:space="0"/>
              <w:right w:val="single" w:color="000000" w:sz="12" w:space="0"/>
            </w:tcBorders>
            <w:vAlign w:val="center"/>
          </w:tcPr>
          <w:p>
            <w:pPr>
              <w:spacing w:line="360" w:lineRule="exact"/>
              <w:ind w:right="113"/>
              <w:rPr>
                <w:rFonts w:ascii="宋体" w:hAnsi="宋体"/>
                <w:szCs w:val="21"/>
              </w:rPr>
            </w:pPr>
            <w:r>
              <w:rPr>
                <w:rFonts w:hint="eastAsia" w:ascii="宋体" w:hAnsi="宋体"/>
                <w:szCs w:val="21"/>
              </w:rPr>
              <w:t>不适用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1008" w:type="dxa"/>
            <w:tcBorders>
              <w:top w:val="single" w:color="000000" w:sz="6" w:space="0"/>
              <w:left w:val="single" w:color="000000" w:sz="12" w:space="0"/>
              <w:bottom w:val="single" w:color="000000" w:sz="6" w:space="0"/>
              <w:right w:val="single" w:color="auto" w:sz="4" w:space="0"/>
            </w:tcBorders>
            <w:vAlign w:val="center"/>
          </w:tcPr>
          <w:p>
            <w:pPr>
              <w:spacing w:line="360" w:lineRule="exact"/>
              <w:ind w:right="113"/>
              <w:jc w:val="center"/>
              <w:rPr>
                <w:rFonts w:ascii="宋体" w:hAnsi="宋体"/>
                <w:szCs w:val="21"/>
              </w:rPr>
            </w:pPr>
            <w:r>
              <w:rPr>
                <w:rFonts w:hint="eastAsia" w:ascii="宋体" w:hAnsi="宋体"/>
                <w:szCs w:val="21"/>
              </w:rPr>
              <w:t>3.6.1</w:t>
            </w:r>
          </w:p>
        </w:tc>
        <w:tc>
          <w:tcPr>
            <w:tcW w:w="8435" w:type="dxa"/>
            <w:gridSpan w:val="6"/>
            <w:tcBorders>
              <w:top w:val="single" w:color="000000" w:sz="6" w:space="0"/>
              <w:left w:val="single" w:color="auto" w:sz="4" w:space="0"/>
              <w:bottom w:val="single" w:color="000000" w:sz="6" w:space="0"/>
              <w:right w:val="single" w:color="000000" w:sz="12" w:space="0"/>
            </w:tcBorders>
            <w:vAlign w:val="center"/>
          </w:tcPr>
          <w:p>
            <w:pPr>
              <w:spacing w:line="360" w:lineRule="exact"/>
              <w:ind w:right="113"/>
              <w:rPr>
                <w:rFonts w:ascii="宋体" w:hAnsi="宋体"/>
                <w:szCs w:val="21"/>
              </w:rPr>
            </w:pPr>
            <w:r>
              <w:rPr>
                <w:rFonts w:hint="eastAsia" w:ascii="宋体" w:hAnsi="宋体"/>
                <w:szCs w:val="21"/>
              </w:rPr>
              <w:t>不适用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9443" w:type="dxa"/>
            <w:gridSpan w:val="7"/>
            <w:tcBorders>
              <w:top w:val="single" w:color="000000" w:sz="6" w:space="0"/>
              <w:left w:val="single" w:color="000000" w:sz="12" w:space="0"/>
              <w:bottom w:val="single" w:color="000000" w:sz="12" w:space="0"/>
              <w:right w:val="single" w:color="000000" w:sz="12" w:space="0"/>
            </w:tcBorders>
            <w:vAlign w:val="center"/>
          </w:tcPr>
          <w:p>
            <w:pPr>
              <w:spacing w:line="360" w:lineRule="exact"/>
              <w:ind w:right="113"/>
              <w:rPr>
                <w:rFonts w:ascii="宋体" w:hAnsi="宋体"/>
                <w:szCs w:val="21"/>
              </w:rPr>
            </w:pPr>
            <w:r>
              <w:rPr>
                <w:rFonts w:hint="eastAsia" w:ascii="宋体" w:hAnsi="宋体"/>
                <w:szCs w:val="21"/>
              </w:rPr>
              <w:t>需要补充的其他内容:无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MzYzY2ViOWVlZmRjOGNiZTNlZTQ5MjU4MjdmYmQifQ=="/>
  </w:docVars>
  <w:rsids>
    <w:rsidRoot w:val="3A557B93"/>
    <w:rsid w:val="3A55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line="360" w:lineRule="auto"/>
      <w:outlineLvl w:val="2"/>
    </w:pPr>
    <w:rPr>
      <w:b/>
      <w:bCs/>
      <w:sz w:val="24"/>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2023-06-12T08:32:00Z</dcterms:created>
  <dc:creator>当归.</dc:creator>
  <cp:lastModifiedBy>当归.</cp:lastModifiedBy>
  <dcterms:modified xsi:type="dcterms:W3CDTF">2023-06-12T08:32:57Z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ECA28B1A883B45929BD3F6709E082D72_11</vt:lpwstr>
  </property>
</Properties>
</file>