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hAnsi="宋体" w:cs="宋体"/>
          <w:b/>
          <w:color w:val="000000"/>
          <w:sz w:val="28"/>
        </w:rPr>
      </w:pPr>
      <w:r>
        <w:rPr>
          <w:rFonts w:hint="eastAsia" w:hAnsi="宋体" w:cs="宋体"/>
          <w:b/>
          <w:color w:val="000000"/>
          <w:sz w:val="28"/>
        </w:rPr>
        <w:t>附件2：评标办法前附表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pPr>
              <w:spacing w:line="480" w:lineRule="exact"/>
              <w:jc w:val="center"/>
              <w:rPr>
                <w:rFonts w:ascii="宋体" w:hAnsi="宋体"/>
                <w:color w:val="000000"/>
                <w:szCs w:val="21"/>
              </w:rPr>
            </w:pPr>
            <w:r>
              <w:rPr>
                <w:rFonts w:hint="eastAsia" w:ascii="宋体" w:hAnsi="宋体"/>
                <w:color w:val="000000"/>
                <w:szCs w:val="21"/>
              </w:rPr>
              <w:t>条款号</w:t>
            </w:r>
          </w:p>
        </w:tc>
        <w:tc>
          <w:tcPr>
            <w:tcW w:w="1277" w:type="dxa"/>
            <w:vAlign w:val="center"/>
          </w:tcPr>
          <w:p>
            <w:pPr>
              <w:spacing w:line="480" w:lineRule="exact"/>
              <w:jc w:val="center"/>
              <w:rPr>
                <w:rFonts w:ascii="宋体" w:hAnsi="宋体"/>
                <w:color w:val="000000"/>
                <w:szCs w:val="21"/>
              </w:rPr>
            </w:pPr>
            <w:r>
              <w:rPr>
                <w:rFonts w:hint="eastAsia" w:ascii="宋体" w:hAnsi="宋体"/>
                <w:color w:val="000000"/>
                <w:szCs w:val="21"/>
              </w:rPr>
              <w:t>条款名称</w:t>
            </w:r>
          </w:p>
        </w:tc>
        <w:tc>
          <w:tcPr>
            <w:tcW w:w="7279" w:type="dxa"/>
            <w:vAlign w:val="center"/>
          </w:tcPr>
          <w:p>
            <w:pPr>
              <w:spacing w:line="480" w:lineRule="exact"/>
              <w:jc w:val="center"/>
              <w:rPr>
                <w:rFonts w:ascii="宋体" w:hAnsi="宋体"/>
                <w:color w:val="000000"/>
                <w:szCs w:val="21"/>
              </w:rPr>
            </w:pPr>
            <w:r>
              <w:rPr>
                <w:rFonts w:hint="eastAsia" w:ascii="宋体" w:hAnsi="宋体"/>
                <w:color w:val="00000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277" w:type="dxa"/>
            <w:vAlign w:val="center"/>
          </w:tcPr>
          <w:p>
            <w:pPr>
              <w:spacing w:line="400" w:lineRule="exact"/>
              <w:jc w:val="center"/>
              <w:rPr>
                <w:rFonts w:ascii="宋体" w:hAnsi="宋体"/>
                <w:color w:val="000000"/>
                <w:szCs w:val="21"/>
              </w:rPr>
            </w:pPr>
            <w:r>
              <w:rPr>
                <w:rFonts w:hint="eastAsia" w:ascii="宋体" w:hAnsi="宋体"/>
                <w:color w:val="000000"/>
                <w:szCs w:val="21"/>
              </w:rPr>
              <w:t>评标办法</w:t>
            </w:r>
          </w:p>
        </w:tc>
        <w:tc>
          <w:tcPr>
            <w:tcW w:w="7279" w:type="dxa"/>
            <w:vAlign w:val="center"/>
          </w:tcPr>
          <w:p>
            <w:pPr>
              <w:spacing w:line="400" w:lineRule="exact"/>
              <w:ind w:firstLine="420" w:firstLineChars="200"/>
              <w:rPr>
                <w:rFonts w:ascii="宋体" w:hAnsi="宋体"/>
                <w:color w:val="000000"/>
                <w:spacing w:val="-4"/>
                <w:szCs w:val="21"/>
              </w:rPr>
            </w:pPr>
            <w:r>
              <w:rPr>
                <w:rFonts w:hint="eastAsia" w:ascii="宋体" w:hAnsi="宋体"/>
                <w:color w:val="000000"/>
                <w:szCs w:val="21"/>
              </w:rPr>
              <w:t>本次评标采用综合评估法。评标委员会对满足招标文件实质性要求的投标文件，按照第三章第2.2款规定的评分标准进行打分，并按得分由高到低顺序推荐中标候选人。</w:t>
            </w:r>
            <w:r>
              <w:rPr>
                <w:rFonts w:hint="eastAsia" w:ascii="宋体" w:hAnsi="宋体"/>
                <w:color w:val="000000"/>
                <w:spacing w:val="-4"/>
                <w:szCs w:val="21"/>
              </w:rPr>
              <w:t>综合</w:t>
            </w:r>
            <w:r>
              <w:rPr>
                <w:rFonts w:ascii="宋体" w:hAnsi="宋体"/>
                <w:color w:val="000000"/>
                <w:spacing w:val="-4"/>
                <w:szCs w:val="21"/>
              </w:rPr>
              <w:t>得分相等时，以评标价低的优先；评标价也相等的，</w:t>
            </w:r>
            <w:r>
              <w:rPr>
                <w:rFonts w:hint="eastAsia" w:ascii="宋体" w:hAnsi="宋体"/>
                <w:color w:val="000000"/>
                <w:spacing w:val="-4"/>
                <w:szCs w:val="21"/>
              </w:rPr>
              <w:t>则以第一个信封满足业绩要求的业绩数量较多的优先</w:t>
            </w:r>
            <w:r>
              <w:rPr>
                <w:rFonts w:ascii="宋体" w:hAnsi="宋体"/>
                <w:color w:val="000000"/>
                <w:spacing w:val="-4"/>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400" w:lineRule="exact"/>
              <w:jc w:val="center"/>
              <w:rPr>
                <w:rFonts w:ascii="宋体" w:hAnsi="宋体"/>
                <w:color w:val="000000"/>
                <w:szCs w:val="21"/>
              </w:rPr>
            </w:pPr>
            <w:r>
              <w:rPr>
                <w:rFonts w:hint="eastAsia" w:ascii="宋体" w:hAnsi="宋体"/>
                <w:color w:val="000000"/>
                <w:szCs w:val="21"/>
              </w:rPr>
              <w:t>2.1.1</w:t>
            </w:r>
          </w:p>
          <w:p>
            <w:pPr>
              <w:spacing w:line="400" w:lineRule="exact"/>
              <w:jc w:val="center"/>
              <w:rPr>
                <w:rFonts w:ascii="宋体" w:hAnsi="宋体"/>
                <w:color w:val="000000"/>
                <w:szCs w:val="21"/>
              </w:rPr>
            </w:pPr>
            <w:r>
              <w:rPr>
                <w:rFonts w:hint="eastAsia" w:ascii="宋体" w:hAnsi="宋体"/>
                <w:color w:val="000000"/>
                <w:szCs w:val="21"/>
              </w:rPr>
              <w:t>2.1.3</w:t>
            </w:r>
          </w:p>
        </w:tc>
        <w:tc>
          <w:tcPr>
            <w:tcW w:w="1277" w:type="dxa"/>
            <w:vAlign w:val="center"/>
          </w:tcPr>
          <w:p>
            <w:pPr>
              <w:spacing w:line="400" w:lineRule="exact"/>
              <w:jc w:val="center"/>
              <w:rPr>
                <w:rFonts w:ascii="宋体" w:hAnsi="宋体"/>
                <w:color w:val="000000"/>
                <w:szCs w:val="21"/>
              </w:rPr>
            </w:pPr>
            <w:r>
              <w:rPr>
                <w:rFonts w:hint="eastAsia" w:ascii="宋体" w:hAnsi="宋体"/>
                <w:color w:val="000000"/>
                <w:szCs w:val="21"/>
              </w:rPr>
              <w:t>形式评审与响应性评审标准</w:t>
            </w:r>
          </w:p>
        </w:tc>
        <w:tc>
          <w:tcPr>
            <w:tcW w:w="7279" w:type="dxa"/>
          </w:tcPr>
          <w:p>
            <w:pPr>
              <w:tabs>
                <w:tab w:val="left" w:pos="3060"/>
              </w:tabs>
              <w:spacing w:line="400" w:lineRule="exact"/>
              <w:rPr>
                <w:rFonts w:ascii="宋体" w:hAnsi="宋体"/>
                <w:b/>
                <w:color w:val="000000"/>
                <w:szCs w:val="21"/>
              </w:rPr>
            </w:pPr>
            <w:r>
              <w:rPr>
                <w:rFonts w:hint="eastAsia" w:ascii="宋体" w:hAnsi="宋体"/>
                <w:b/>
                <w:color w:val="000000"/>
                <w:szCs w:val="21"/>
              </w:rPr>
              <w:t>第一个信封（商务及技术文件）评审标准:</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（1）投标文件按照招标文件规定的格式、内容填写，字迹清晰可辩：</w:t>
            </w:r>
          </w:p>
          <w:p>
            <w:pPr>
              <w:tabs>
                <w:tab w:val="left" w:pos="3060"/>
              </w:tabs>
              <w:spacing w:line="400" w:lineRule="exact"/>
              <w:ind w:firstLine="420" w:firstLineChars="200"/>
              <w:rPr>
                <w:rFonts w:ascii="宋体" w:hAnsi="宋体"/>
                <w:color w:val="000000"/>
                <w:szCs w:val="21"/>
              </w:rPr>
            </w:pPr>
            <w:r>
              <w:rPr>
                <w:rFonts w:hint="eastAsia" w:ascii="宋体" w:hAnsi="宋体"/>
                <w:color w:val="000000"/>
                <w:szCs w:val="21"/>
              </w:rPr>
              <w:t>a、投标函按招标文件规定填报了项目名称、标段号、补遗书编号（如有）、工作周期、工程质量要求；</w:t>
            </w:r>
          </w:p>
          <w:p>
            <w:pPr>
              <w:tabs>
                <w:tab w:val="left" w:pos="3060"/>
              </w:tabs>
              <w:spacing w:line="400" w:lineRule="exact"/>
              <w:ind w:firstLine="420" w:firstLineChars="200"/>
              <w:rPr>
                <w:rFonts w:ascii="宋体" w:hAnsi="宋体"/>
                <w:color w:val="000000"/>
                <w:szCs w:val="21"/>
              </w:rPr>
            </w:pPr>
            <w:r>
              <w:rPr>
                <w:rFonts w:hint="eastAsia" w:ascii="宋体" w:hAnsi="宋体"/>
                <w:color w:val="000000"/>
                <w:szCs w:val="21"/>
              </w:rPr>
              <w:t>b、投标文件组成齐全完整，内容均按规定填写。</w:t>
            </w:r>
          </w:p>
          <w:p>
            <w:pPr>
              <w:tabs>
                <w:tab w:val="left" w:pos="3060"/>
              </w:tabs>
              <w:spacing w:line="400" w:lineRule="exact"/>
              <w:ind w:firstLine="210" w:firstLineChars="100"/>
              <w:rPr>
                <w:rFonts w:ascii="宋体" w:hAnsi="宋体"/>
                <w:b/>
                <w:color w:val="000000"/>
                <w:szCs w:val="21"/>
              </w:rPr>
            </w:pPr>
            <w:r>
              <w:rPr>
                <w:rFonts w:hint="eastAsia" w:ascii="宋体" w:hAnsi="宋体"/>
                <w:color w:val="000000"/>
                <w:szCs w:val="21"/>
              </w:rPr>
              <w:t>（2）投标文件上法定代表人或其委托代理人的签字、投标人的单位章盖章齐全，符合招标文件规定。</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（3）投标人按照招标文件的规定提供了投标保证金：</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a.投标保证金金额符合招标文件规定的金额，且投标保证金有效期不少于投标有效期；</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b.若投标保证金采用现金或支票形式提交，投标人应在递交投标文件截止时间之前，将投标保证金由投标人的基本账户转入招标人指定账户；</w:t>
            </w:r>
          </w:p>
          <w:p>
            <w:pPr>
              <w:tabs>
                <w:tab w:val="left" w:pos="3060"/>
              </w:tabs>
              <w:spacing w:line="400" w:lineRule="exact"/>
              <w:ind w:firstLine="210" w:firstLineChars="100"/>
              <w:rPr>
                <w:rFonts w:hint="eastAsia" w:ascii="宋体" w:hAnsi="宋体"/>
                <w:color w:val="000000"/>
                <w:szCs w:val="21"/>
              </w:rPr>
            </w:pPr>
            <w:r>
              <w:rPr>
                <w:rFonts w:hint="eastAsia" w:ascii="宋体" w:hAnsi="宋体"/>
                <w:color w:val="000000"/>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400" w:lineRule="exact"/>
              <w:ind w:firstLine="210" w:firstLineChars="100"/>
            </w:pPr>
            <w:r>
              <w:rPr>
                <w:rFonts w:hint="eastAsia" w:ascii="宋体" w:hAnsi="宋体"/>
                <w:color w:val="000000"/>
                <w:szCs w:val="21"/>
              </w:rPr>
              <w:t>d.若投标保证金采用</w:t>
            </w:r>
            <w:r>
              <w:rPr>
                <w:rFonts w:hint="eastAsia"/>
                <w:color w:val="000000"/>
              </w:rPr>
              <w:t>电子保函或保证保险</w:t>
            </w:r>
            <w:r>
              <w:rPr>
                <w:rFonts w:hint="eastAsia" w:ascii="宋体" w:hAnsi="宋体"/>
                <w:color w:val="000000"/>
                <w:szCs w:val="21"/>
              </w:rPr>
              <w:t>形式提交应满足招标文件要求。</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（4）投标人法定代表人的授权委托代理人签署投标文件的，需提交授权委</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托书，且符合招标文件规定。</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（5）投标人法定代表人亲自签署投标文件的，需提交法定代表人身份证明，</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且符合招标文件规定。</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（6）投标人未以联合体形式投标。</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（7）投标人未提交分包计划。</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（8）同一投标人未提交两个以上不同的投标文件。</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（9）投标文件中未出现有关投标报价的内容。</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（10）投标文件载明的招标项目完成期限未超过招标文件规定的时限。</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（11）投标文件对招标文件的实质性要求和条件作出响应。</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（12）权利义务符合招标文件规定：</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a.投标人应接受招标文件规定的风险划分原则，未提出新的风险划分办法；</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b.投标人未增加发包人的责任范围，或减少投标人义务；</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c.投标人未提出不同的工程验收、计量、支付办法；</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d.投标人对合同纠纷、事故处理办法未提出异议；</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e.投标人在投标活动中无欺诈行为；</w:t>
            </w:r>
          </w:p>
          <w:p>
            <w:pPr>
              <w:tabs>
                <w:tab w:val="left" w:pos="3060"/>
              </w:tabs>
              <w:spacing w:line="400" w:lineRule="exact"/>
              <w:ind w:firstLine="210" w:firstLineChars="100"/>
              <w:rPr>
                <w:rFonts w:ascii="宋体" w:hAnsi="宋体"/>
                <w:color w:val="000000"/>
                <w:szCs w:val="21"/>
              </w:rPr>
            </w:pPr>
            <w:r>
              <w:rPr>
                <w:rFonts w:hint="eastAsia" w:ascii="宋体" w:hAnsi="宋体"/>
                <w:color w:val="000000"/>
                <w:szCs w:val="21"/>
              </w:rPr>
              <w:t>f.投标人未对合同条款有重要保留。</w:t>
            </w:r>
          </w:p>
          <w:p>
            <w:pPr>
              <w:tabs>
                <w:tab w:val="left" w:pos="3060"/>
              </w:tabs>
              <w:spacing w:line="400" w:lineRule="exact"/>
              <w:rPr>
                <w:rFonts w:ascii="宋体" w:hAnsi="宋体"/>
                <w:b/>
                <w:color w:val="000000"/>
                <w:szCs w:val="21"/>
              </w:rPr>
            </w:pPr>
            <w:r>
              <w:rPr>
                <w:rFonts w:hint="eastAsia" w:ascii="宋体" w:hAnsi="宋体"/>
                <w:b/>
                <w:color w:val="000000"/>
                <w:szCs w:val="21"/>
              </w:rPr>
              <w:t>第二个信封（报价文件）评审标准：</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(1)投标文件按照招标文件规定的格式、内容填写，字迹清晰可辨，内容齐</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全完整：</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a．投标函按招标文件规定填报了项目名称、补遗书编号（如有）、投标</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价（包括大写金额和小写金额）；</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b．已标价报价清单说明文字与招标文件规定一致，未进行实质性修改和</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删减；</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c．投标文件组成齐全完整，内容均按规定填写。</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(2) 投标文件上法定代表人或其委托代理人签字、投标人的单位章齐全，</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符合招标文件规定。</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(3)投标报价未超过招标文件设定的最高投标限价。</w:t>
            </w:r>
          </w:p>
          <w:p>
            <w:pPr>
              <w:tabs>
                <w:tab w:val="left" w:pos="3060"/>
              </w:tabs>
              <w:spacing w:line="400" w:lineRule="exact"/>
              <w:ind w:firstLine="105" w:firstLineChars="50"/>
              <w:rPr>
                <w:rFonts w:ascii="宋体" w:hAnsi="宋体"/>
                <w:color w:val="000000"/>
                <w:szCs w:val="21"/>
              </w:rPr>
            </w:pPr>
            <w:r>
              <w:rPr>
                <w:rFonts w:hint="eastAsia" w:ascii="宋体" w:hAnsi="宋体"/>
                <w:color w:val="000000"/>
                <w:szCs w:val="21"/>
              </w:rPr>
              <w:t>(4)投标报价的大写金额能够确定具体数值。</w:t>
            </w:r>
          </w:p>
          <w:p>
            <w:pPr>
              <w:tabs>
                <w:tab w:val="left" w:pos="3060"/>
              </w:tabs>
              <w:spacing w:line="400" w:lineRule="exact"/>
              <w:ind w:firstLine="105" w:firstLineChars="50"/>
              <w:rPr>
                <w:rFonts w:ascii="宋体" w:hAnsi="宋体"/>
                <w:b/>
                <w:color w:val="000000"/>
                <w:szCs w:val="21"/>
              </w:rPr>
            </w:pPr>
            <w:r>
              <w:rPr>
                <w:rFonts w:hint="eastAsia" w:ascii="宋体" w:hAnsi="宋体"/>
                <w:color w:val="000000"/>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400" w:lineRule="exact"/>
              <w:jc w:val="center"/>
              <w:rPr>
                <w:rFonts w:ascii="宋体" w:hAnsi="宋体"/>
                <w:color w:val="000000"/>
                <w:szCs w:val="21"/>
              </w:rPr>
            </w:pPr>
            <w:r>
              <w:rPr>
                <w:rFonts w:hint="eastAsia" w:ascii="宋体" w:hAnsi="宋体"/>
                <w:color w:val="000000"/>
                <w:szCs w:val="21"/>
              </w:rPr>
              <w:t>2.1.2</w:t>
            </w:r>
          </w:p>
        </w:tc>
        <w:tc>
          <w:tcPr>
            <w:tcW w:w="1277" w:type="dxa"/>
            <w:vAlign w:val="center"/>
          </w:tcPr>
          <w:p>
            <w:pPr>
              <w:spacing w:line="400" w:lineRule="exact"/>
              <w:jc w:val="center"/>
              <w:rPr>
                <w:rFonts w:ascii="宋体" w:hAnsi="宋体"/>
                <w:color w:val="000000"/>
                <w:szCs w:val="21"/>
              </w:rPr>
            </w:pPr>
            <w:r>
              <w:rPr>
                <w:rFonts w:hint="eastAsia" w:ascii="宋体" w:hAnsi="宋体"/>
                <w:color w:val="000000"/>
                <w:szCs w:val="21"/>
              </w:rPr>
              <w:t>资格评审标准</w:t>
            </w:r>
          </w:p>
        </w:tc>
        <w:tc>
          <w:tcPr>
            <w:tcW w:w="7279" w:type="dxa"/>
          </w:tcPr>
          <w:p>
            <w:pPr>
              <w:tabs>
                <w:tab w:val="left" w:pos="3060"/>
              </w:tabs>
              <w:spacing w:line="400" w:lineRule="exact"/>
              <w:rPr>
                <w:rFonts w:ascii="宋体" w:hAnsi="宋体"/>
                <w:color w:val="000000"/>
                <w:szCs w:val="21"/>
              </w:rPr>
            </w:pPr>
            <w:r>
              <w:rPr>
                <w:rFonts w:hint="eastAsia" w:ascii="宋体" w:hAnsi="宋体"/>
                <w:color w:val="000000"/>
                <w:szCs w:val="21"/>
              </w:rPr>
              <w:t>（1）投标人具备有效的营业执照、组织机构代码证（三证合一的除外）、资质证书和基本账户开户许可证（或基本存款账户信息）；</w:t>
            </w:r>
          </w:p>
          <w:p>
            <w:pPr>
              <w:tabs>
                <w:tab w:val="left" w:pos="3060"/>
              </w:tabs>
              <w:spacing w:line="400" w:lineRule="exact"/>
              <w:rPr>
                <w:rFonts w:ascii="宋体" w:hAnsi="宋体"/>
                <w:color w:val="000000"/>
                <w:szCs w:val="21"/>
              </w:rPr>
            </w:pPr>
            <w:r>
              <w:rPr>
                <w:rFonts w:hint="eastAsia" w:ascii="宋体" w:hAnsi="宋体"/>
                <w:color w:val="000000"/>
                <w:szCs w:val="21"/>
              </w:rPr>
              <w:t>（2）投标人的资质等级符合招标文件规定；</w:t>
            </w:r>
          </w:p>
          <w:p>
            <w:pPr>
              <w:tabs>
                <w:tab w:val="left" w:pos="3060"/>
              </w:tabs>
              <w:spacing w:line="400" w:lineRule="exact"/>
              <w:rPr>
                <w:rFonts w:ascii="宋体" w:hAnsi="宋体"/>
                <w:color w:val="000000"/>
                <w:szCs w:val="21"/>
              </w:rPr>
            </w:pPr>
            <w:r>
              <w:rPr>
                <w:rFonts w:hint="eastAsia" w:ascii="宋体" w:hAnsi="宋体"/>
                <w:color w:val="000000"/>
                <w:szCs w:val="21"/>
              </w:rPr>
              <w:t>（3）投标人的类似项目业绩符合招标文件规定；</w:t>
            </w:r>
          </w:p>
          <w:p>
            <w:pPr>
              <w:tabs>
                <w:tab w:val="left" w:pos="3060"/>
              </w:tabs>
              <w:spacing w:line="400" w:lineRule="exact"/>
              <w:rPr>
                <w:rFonts w:ascii="宋体" w:hAnsi="宋体"/>
                <w:color w:val="000000"/>
                <w:szCs w:val="21"/>
              </w:rPr>
            </w:pPr>
            <w:r>
              <w:rPr>
                <w:rFonts w:hint="eastAsia" w:ascii="宋体" w:hAnsi="宋体"/>
                <w:color w:val="000000"/>
                <w:szCs w:val="21"/>
              </w:rPr>
              <w:t>（4）投标人的信誉符合招标文件规定；</w:t>
            </w:r>
          </w:p>
          <w:p>
            <w:pPr>
              <w:tabs>
                <w:tab w:val="left" w:pos="3060"/>
              </w:tabs>
              <w:spacing w:line="400" w:lineRule="exact"/>
              <w:rPr>
                <w:rFonts w:ascii="宋体" w:hAnsi="宋体"/>
                <w:color w:val="000000"/>
                <w:szCs w:val="21"/>
              </w:rPr>
            </w:pPr>
            <w:r>
              <w:rPr>
                <w:rFonts w:hint="eastAsia" w:ascii="宋体" w:hAnsi="宋体"/>
                <w:color w:val="000000"/>
                <w:szCs w:val="21"/>
              </w:rPr>
              <w:t xml:space="preserve">（5）投标人的项目负责人资格符合招标文件规定； </w:t>
            </w:r>
          </w:p>
          <w:p>
            <w:pPr>
              <w:tabs>
                <w:tab w:val="left" w:pos="3060"/>
              </w:tabs>
              <w:spacing w:line="400" w:lineRule="exact"/>
              <w:rPr>
                <w:rFonts w:ascii="宋体" w:hAnsi="宋体"/>
                <w:color w:val="000000"/>
                <w:szCs w:val="21"/>
              </w:rPr>
            </w:pPr>
            <w:r>
              <w:rPr>
                <w:rFonts w:hint="eastAsia" w:ascii="宋体" w:hAnsi="宋体"/>
                <w:color w:val="000000"/>
                <w:szCs w:val="21"/>
              </w:rPr>
              <w:t>（6）投标人不存在第二章“投标人须知”第1.4.3项或第1.4.4项规定的任何一种情形。</w:t>
            </w:r>
          </w:p>
          <w:p>
            <w:pPr>
              <w:tabs>
                <w:tab w:val="left" w:pos="3060"/>
              </w:tabs>
              <w:spacing w:line="400" w:lineRule="exact"/>
              <w:rPr>
                <w:rFonts w:ascii="宋体" w:hAnsi="宋体"/>
                <w:color w:val="000000"/>
                <w:szCs w:val="21"/>
              </w:rPr>
            </w:pPr>
            <w:r>
              <w:rPr>
                <w:rFonts w:hint="eastAsia" w:ascii="宋体" w:hAnsi="宋体"/>
                <w:color w:val="000000"/>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pPr>
              <w:spacing w:line="400" w:lineRule="exact"/>
              <w:jc w:val="center"/>
              <w:rPr>
                <w:rFonts w:ascii="宋体" w:hAnsi="宋体"/>
                <w:color w:val="000000"/>
                <w:szCs w:val="21"/>
              </w:rPr>
            </w:pPr>
            <w:r>
              <w:rPr>
                <w:rFonts w:hint="eastAsia" w:ascii="宋体" w:hAnsi="宋体"/>
                <w:color w:val="000000"/>
                <w:szCs w:val="21"/>
              </w:rPr>
              <w:t>2.2.1</w:t>
            </w:r>
          </w:p>
        </w:tc>
        <w:tc>
          <w:tcPr>
            <w:tcW w:w="1277" w:type="dxa"/>
            <w:vAlign w:val="center"/>
          </w:tcPr>
          <w:p>
            <w:pPr>
              <w:spacing w:line="400" w:lineRule="exact"/>
              <w:jc w:val="center"/>
              <w:rPr>
                <w:rFonts w:ascii="宋体" w:hAnsi="宋体"/>
                <w:color w:val="000000"/>
                <w:szCs w:val="21"/>
              </w:rPr>
            </w:pPr>
            <w:r>
              <w:rPr>
                <w:rFonts w:hint="eastAsia" w:ascii="宋体" w:hAnsi="宋体"/>
                <w:color w:val="000000"/>
                <w:szCs w:val="21"/>
              </w:rPr>
              <w:t>分值构成</w:t>
            </w:r>
          </w:p>
        </w:tc>
        <w:tc>
          <w:tcPr>
            <w:tcW w:w="7279" w:type="dxa"/>
            <w:vAlign w:val="center"/>
          </w:tcPr>
          <w:p>
            <w:pPr>
              <w:autoSpaceDE w:val="0"/>
              <w:autoSpaceDN w:val="0"/>
              <w:adjustRightInd w:val="0"/>
              <w:spacing w:line="400" w:lineRule="exact"/>
              <w:ind w:left="107"/>
              <w:jc w:val="left"/>
              <w:rPr>
                <w:rFonts w:ascii="宋体" w:hAnsi="宋体"/>
                <w:b/>
                <w:color w:val="000000"/>
                <w:kern w:val="0"/>
                <w:szCs w:val="21"/>
              </w:rPr>
            </w:pPr>
            <w:r>
              <w:rPr>
                <w:rFonts w:hint="eastAsia" w:ascii="宋体" w:hAnsi="宋体"/>
                <w:b/>
                <w:color w:val="000000"/>
                <w:kern w:val="0"/>
                <w:szCs w:val="21"/>
              </w:rPr>
              <w:t>第一信封（商务及技术文件）评分分值构成：</w:t>
            </w:r>
          </w:p>
          <w:p>
            <w:pPr>
              <w:autoSpaceDE w:val="0"/>
              <w:autoSpaceDN w:val="0"/>
              <w:adjustRightInd w:val="0"/>
              <w:spacing w:line="400" w:lineRule="exact"/>
              <w:ind w:left="107"/>
              <w:jc w:val="left"/>
              <w:rPr>
                <w:rFonts w:ascii="宋体" w:hAnsi="宋体" w:cs="宋?"/>
                <w:color w:val="000000"/>
                <w:kern w:val="0"/>
                <w:szCs w:val="21"/>
              </w:rPr>
            </w:pPr>
            <w:r>
              <w:rPr>
                <w:rFonts w:hint="eastAsia" w:ascii="宋体" w:hAnsi="宋体" w:cs="宋?"/>
                <w:color w:val="000000"/>
                <w:kern w:val="0"/>
                <w:szCs w:val="21"/>
              </w:rPr>
              <w:t>技术建议书：</w:t>
            </w:r>
            <w:r>
              <w:rPr>
                <w:rFonts w:ascii="宋体" w:hAnsi="宋体" w:cs="宋?"/>
                <w:color w:val="000000"/>
                <w:kern w:val="0"/>
                <w:szCs w:val="21"/>
              </w:rPr>
              <w:t>50分</w:t>
            </w:r>
          </w:p>
          <w:p>
            <w:pPr>
              <w:autoSpaceDE w:val="0"/>
              <w:autoSpaceDN w:val="0"/>
              <w:adjustRightInd w:val="0"/>
              <w:spacing w:line="400" w:lineRule="exact"/>
              <w:ind w:left="107"/>
              <w:jc w:val="left"/>
              <w:rPr>
                <w:rFonts w:ascii="宋体" w:hAnsi="宋体"/>
                <w:color w:val="000000"/>
                <w:kern w:val="0"/>
                <w:szCs w:val="21"/>
              </w:rPr>
            </w:pPr>
            <w:r>
              <w:rPr>
                <w:rFonts w:hint="eastAsia" w:ascii="宋体" w:hAnsi="宋体"/>
                <w:color w:val="000000"/>
                <w:kern w:val="0"/>
                <w:szCs w:val="21"/>
              </w:rPr>
              <w:t>主要人员：</w:t>
            </w:r>
            <w:r>
              <w:rPr>
                <w:rFonts w:ascii="宋体" w:hAnsi="宋体"/>
                <w:color w:val="000000"/>
                <w:kern w:val="0"/>
                <w:szCs w:val="21"/>
              </w:rPr>
              <w:t>15</w:t>
            </w:r>
            <w:r>
              <w:rPr>
                <w:rFonts w:hint="eastAsia" w:ascii="宋体" w:hAnsi="宋体"/>
                <w:color w:val="000000"/>
                <w:kern w:val="0"/>
                <w:szCs w:val="21"/>
              </w:rPr>
              <w:t>分</w:t>
            </w:r>
          </w:p>
          <w:p>
            <w:pPr>
              <w:autoSpaceDE w:val="0"/>
              <w:autoSpaceDN w:val="0"/>
              <w:adjustRightInd w:val="0"/>
              <w:spacing w:line="400" w:lineRule="exact"/>
              <w:ind w:left="107"/>
              <w:jc w:val="left"/>
              <w:rPr>
                <w:rFonts w:ascii="宋体" w:hAnsi="宋体"/>
                <w:color w:val="000000"/>
                <w:kern w:val="0"/>
                <w:szCs w:val="21"/>
              </w:rPr>
            </w:pPr>
            <w:r>
              <w:rPr>
                <w:rFonts w:hint="eastAsia" w:ascii="宋体" w:hAnsi="宋体"/>
                <w:color w:val="000000"/>
                <w:kern w:val="0"/>
                <w:szCs w:val="21"/>
              </w:rPr>
              <w:t>其他因素：25分</w:t>
            </w:r>
          </w:p>
          <w:p>
            <w:pPr>
              <w:autoSpaceDE w:val="0"/>
              <w:autoSpaceDN w:val="0"/>
              <w:adjustRightInd w:val="0"/>
              <w:spacing w:line="400" w:lineRule="exact"/>
              <w:ind w:left="107"/>
              <w:jc w:val="left"/>
              <w:rPr>
                <w:rFonts w:ascii="宋体" w:hAnsi="宋体"/>
                <w:b/>
                <w:color w:val="000000"/>
                <w:kern w:val="0"/>
                <w:szCs w:val="21"/>
              </w:rPr>
            </w:pPr>
            <w:r>
              <w:rPr>
                <w:rFonts w:hint="eastAsia" w:ascii="宋体" w:hAnsi="宋体"/>
                <w:b/>
                <w:color w:val="000000"/>
                <w:kern w:val="0"/>
                <w:szCs w:val="21"/>
              </w:rPr>
              <w:t>第二信封（报价文件）评分分值构成：</w:t>
            </w:r>
          </w:p>
          <w:p>
            <w:pPr>
              <w:autoSpaceDE w:val="0"/>
              <w:autoSpaceDN w:val="0"/>
              <w:adjustRightInd w:val="0"/>
              <w:spacing w:line="400" w:lineRule="exact"/>
              <w:ind w:left="107"/>
              <w:jc w:val="left"/>
              <w:rPr>
                <w:rFonts w:ascii="宋体" w:hAnsi="宋体"/>
                <w:color w:val="000000"/>
                <w:szCs w:val="21"/>
              </w:rPr>
            </w:pPr>
            <w:r>
              <w:rPr>
                <w:rFonts w:hint="eastAsia" w:ascii="宋体" w:hAnsi="宋体"/>
                <w:color w:val="000000"/>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072" w:type="dxa"/>
            <w:vAlign w:val="center"/>
          </w:tcPr>
          <w:p>
            <w:pPr>
              <w:spacing w:line="400" w:lineRule="exact"/>
              <w:ind w:right="113"/>
              <w:jc w:val="center"/>
              <w:rPr>
                <w:rFonts w:ascii="宋体" w:hAnsi="宋体"/>
                <w:color w:val="000000"/>
                <w:szCs w:val="21"/>
              </w:rPr>
            </w:pPr>
            <w:r>
              <w:rPr>
                <w:rFonts w:hint="eastAsia" w:ascii="宋体" w:hAnsi="宋体"/>
                <w:color w:val="000000"/>
                <w:szCs w:val="21"/>
              </w:rPr>
              <w:t>2.2.2</w:t>
            </w:r>
          </w:p>
        </w:tc>
        <w:tc>
          <w:tcPr>
            <w:tcW w:w="1277" w:type="dxa"/>
            <w:vAlign w:val="center"/>
          </w:tcPr>
          <w:p>
            <w:pPr>
              <w:spacing w:line="400" w:lineRule="exact"/>
              <w:ind w:right="113"/>
              <w:rPr>
                <w:rFonts w:ascii="宋体" w:hAnsi="宋体"/>
                <w:color w:val="000000"/>
                <w:szCs w:val="21"/>
              </w:rPr>
            </w:pPr>
            <w:r>
              <w:rPr>
                <w:rFonts w:hint="eastAsia" w:ascii="宋体" w:hAnsi="宋体"/>
                <w:color w:val="000000"/>
                <w:szCs w:val="21"/>
              </w:rPr>
              <w:t>评标基准价计算方法</w:t>
            </w:r>
          </w:p>
        </w:tc>
        <w:tc>
          <w:tcPr>
            <w:tcW w:w="7279" w:type="dxa"/>
            <w:vAlign w:val="center"/>
          </w:tcPr>
          <w:p>
            <w:pPr>
              <w:spacing w:line="400" w:lineRule="exact"/>
              <w:ind w:right="113"/>
              <w:rPr>
                <w:rFonts w:ascii="宋体" w:hAnsi="宋体"/>
                <w:color w:val="000000"/>
                <w:szCs w:val="21"/>
              </w:rPr>
            </w:pPr>
            <w:r>
              <w:rPr>
                <w:rFonts w:hint="eastAsia" w:ascii="宋体" w:hAnsi="宋体"/>
                <w:color w:val="000000"/>
                <w:szCs w:val="21"/>
              </w:rPr>
              <w:t>评标基准价的计算：</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在开标现场，招标人将当场计算并宣布评标基准价。</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（1）评标价的确定：</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评标价=投标函文字报价</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（2）评标价平均值的计算：</w:t>
            </w:r>
          </w:p>
          <w:p>
            <w:pPr>
              <w:spacing w:line="400" w:lineRule="exact"/>
              <w:ind w:left="84" w:leftChars="40" w:right="113" w:firstLine="420" w:firstLineChars="200"/>
              <w:rPr>
                <w:rFonts w:ascii="宋体" w:hAnsi="宋体"/>
                <w:color w:val="000000"/>
                <w:szCs w:val="21"/>
              </w:rPr>
            </w:pPr>
            <w:r>
              <w:rPr>
                <w:rFonts w:hint="eastAsia" w:ascii="宋体" w:hAnsi="宋体"/>
                <w:color w:val="000000"/>
                <w:szCs w:val="21"/>
              </w:rPr>
              <w:t>除按第二章“投标人须知”第 5.2.4 项规定开标现场被宣布为不进入评标基准价计算的，或投标总报价存在明显不合理情形（如数量级错误）且经评标委员会认定的不进入评标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（3）评标基准价的确定：</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将评标价平均值直接作为评标基准价（评标基准价保留小数点后两位，小数点后第三位四舍五入）。</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72" w:type="dxa"/>
            <w:vAlign w:val="center"/>
          </w:tcPr>
          <w:p>
            <w:pPr>
              <w:spacing w:line="400" w:lineRule="exact"/>
              <w:ind w:right="113"/>
              <w:jc w:val="center"/>
              <w:rPr>
                <w:rFonts w:ascii="宋体" w:hAnsi="宋体"/>
                <w:color w:val="000000"/>
                <w:szCs w:val="21"/>
              </w:rPr>
            </w:pPr>
            <w:r>
              <w:rPr>
                <w:rFonts w:hint="eastAsia" w:ascii="宋体" w:hAnsi="宋体"/>
                <w:color w:val="000000"/>
                <w:szCs w:val="21"/>
              </w:rPr>
              <w:t>2.2.3</w:t>
            </w:r>
          </w:p>
        </w:tc>
        <w:tc>
          <w:tcPr>
            <w:tcW w:w="1277" w:type="dxa"/>
            <w:vAlign w:val="center"/>
          </w:tcPr>
          <w:p>
            <w:pPr>
              <w:spacing w:line="400" w:lineRule="exact"/>
              <w:ind w:left="113" w:right="113"/>
              <w:rPr>
                <w:rFonts w:ascii="宋体" w:hAnsi="宋体"/>
                <w:color w:val="000000"/>
                <w:szCs w:val="21"/>
              </w:rPr>
            </w:pPr>
            <w:r>
              <w:rPr>
                <w:rFonts w:hint="eastAsia" w:ascii="宋体" w:hAnsi="宋体"/>
                <w:color w:val="000000"/>
                <w:szCs w:val="21"/>
              </w:rPr>
              <w:t>评标价的偏差率计算公式</w:t>
            </w:r>
          </w:p>
        </w:tc>
        <w:tc>
          <w:tcPr>
            <w:tcW w:w="7279" w:type="dxa"/>
            <w:vAlign w:val="center"/>
          </w:tcPr>
          <w:p>
            <w:pPr>
              <w:spacing w:line="400" w:lineRule="exact"/>
              <w:ind w:left="113" w:right="113" w:firstLine="210" w:firstLineChars="100"/>
              <w:rPr>
                <w:rFonts w:ascii="宋体" w:hAnsi="宋体"/>
                <w:color w:val="000000"/>
                <w:szCs w:val="21"/>
              </w:rPr>
            </w:pPr>
            <w:r>
              <w:rPr>
                <w:rFonts w:hint="eastAsia" w:ascii="宋体" w:hAnsi="宋体"/>
                <w:color w:val="000000"/>
                <w:szCs w:val="21"/>
              </w:rPr>
              <w:t>偏差率=100%×（投标人评标价-评标基准价）/评标基准价</w:t>
            </w:r>
          </w:p>
          <w:p>
            <w:pPr>
              <w:spacing w:line="400" w:lineRule="exact"/>
              <w:ind w:left="113" w:right="113" w:firstLine="210" w:firstLineChars="100"/>
              <w:rPr>
                <w:rFonts w:ascii="宋体" w:hAnsi="宋体"/>
                <w:color w:val="000000"/>
                <w:szCs w:val="21"/>
              </w:rPr>
            </w:pPr>
            <w:r>
              <w:rPr>
                <w:rFonts w:hint="eastAsia" w:ascii="宋体" w:hAnsi="宋体"/>
                <w:color w:val="000000"/>
                <w:szCs w:val="21"/>
              </w:rPr>
              <w:t>偏差率保留</w:t>
            </w:r>
            <w:r>
              <w:rPr>
                <w:rFonts w:hint="eastAsia" w:ascii="宋体" w:hAnsi="宋体"/>
                <w:color w:val="000000"/>
                <w:szCs w:val="21"/>
                <w:u w:val="single"/>
              </w:rPr>
              <w:t>2</w:t>
            </w:r>
            <w:r>
              <w:rPr>
                <w:rFonts w:hint="eastAsia" w:ascii="宋体" w:hAnsi="宋体"/>
                <w:color w:val="000000"/>
                <w:szCs w:val="21"/>
              </w:rPr>
              <w:t>位小数</w:t>
            </w:r>
          </w:p>
        </w:tc>
      </w:tr>
    </w:tbl>
    <w:p>
      <w:pPr>
        <w:pStyle w:val="5"/>
        <w:rPr>
          <w:rFonts w:hAnsi="宋体" w:cs="宋体"/>
          <w:b/>
          <w:color w:val="000000"/>
          <w:sz w:val="28"/>
        </w:rPr>
      </w:pPr>
    </w:p>
    <w:p>
      <w:pPr>
        <w:pStyle w:val="5"/>
        <w:rPr>
          <w:rFonts w:hAnsi="宋体" w:cs="宋体"/>
          <w:b/>
          <w:color w:val="000000"/>
          <w:sz w:val="28"/>
        </w:rPr>
      </w:pPr>
    </w:p>
    <w:p>
      <w:pPr>
        <w:pStyle w:val="5"/>
        <w:rPr>
          <w:rFonts w:hAnsi="宋体" w:cs="宋体"/>
          <w:b/>
          <w:color w:val="000000"/>
          <w:sz w:val="28"/>
        </w:rPr>
      </w:pPr>
    </w:p>
    <w:p>
      <w:pPr>
        <w:pStyle w:val="5"/>
        <w:rPr>
          <w:rFonts w:hAnsi="宋体" w:cs="宋体"/>
          <w:b/>
          <w:color w:val="000000"/>
          <w:sz w:val="28"/>
        </w:rPr>
      </w:pPr>
    </w:p>
    <w:p>
      <w:pPr>
        <w:spacing w:line="480" w:lineRule="exact"/>
        <w:jc w:val="right"/>
        <w:rPr>
          <w:rFonts w:ascii="宋体" w:hAnsi="宋体"/>
          <w:color w:val="000000"/>
          <w:szCs w:val="21"/>
        </w:rPr>
      </w:pPr>
      <w:r>
        <w:rPr>
          <w:rFonts w:hint="eastAsia" w:ascii="宋体" w:hAnsi="宋体"/>
          <w:color w:val="000000"/>
          <w:sz w:val="24"/>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pPr>
              <w:pStyle w:val="5"/>
              <w:spacing w:line="360" w:lineRule="exact"/>
              <w:jc w:val="center"/>
              <w:rPr>
                <w:rFonts w:hAnsi="宋体"/>
                <w:color w:val="000000"/>
              </w:rPr>
            </w:pPr>
            <w:r>
              <w:rPr>
                <w:rFonts w:hint="eastAsia" w:hAnsi="宋体"/>
                <w:color w:val="000000"/>
              </w:rPr>
              <w:t>评分因素与权重分值</w:t>
            </w:r>
          </w:p>
        </w:tc>
        <w:tc>
          <w:tcPr>
            <w:tcW w:w="5496" w:type="dxa"/>
            <w:vMerge w:val="restart"/>
            <w:vAlign w:val="center"/>
          </w:tcPr>
          <w:p>
            <w:pPr>
              <w:pStyle w:val="5"/>
              <w:spacing w:line="360" w:lineRule="exact"/>
              <w:jc w:val="center"/>
              <w:rPr>
                <w:rFonts w:hAnsi="宋体"/>
                <w:color w:val="000000"/>
              </w:rPr>
            </w:pPr>
            <w:r>
              <w:rPr>
                <w:rFonts w:hint="eastAsia" w:hAnsi="宋体"/>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pPr>
              <w:pStyle w:val="5"/>
              <w:spacing w:line="360" w:lineRule="exact"/>
              <w:jc w:val="center"/>
              <w:rPr>
                <w:rFonts w:hAnsi="宋体"/>
                <w:color w:val="000000"/>
              </w:rPr>
            </w:pPr>
            <w:r>
              <w:rPr>
                <w:rFonts w:hint="eastAsia" w:hAnsi="宋体"/>
                <w:color w:val="000000"/>
              </w:rPr>
              <w:t>条款号</w:t>
            </w:r>
          </w:p>
        </w:tc>
        <w:tc>
          <w:tcPr>
            <w:tcW w:w="741" w:type="dxa"/>
            <w:vAlign w:val="center"/>
          </w:tcPr>
          <w:p>
            <w:pPr>
              <w:pStyle w:val="5"/>
              <w:spacing w:line="360" w:lineRule="exact"/>
              <w:jc w:val="center"/>
              <w:rPr>
                <w:rFonts w:hAnsi="宋体"/>
                <w:color w:val="000000"/>
              </w:rPr>
            </w:pPr>
            <w:r>
              <w:rPr>
                <w:rFonts w:hint="eastAsia" w:hAnsi="宋体"/>
                <w:color w:val="000000"/>
              </w:rPr>
              <w:t>评分因素</w:t>
            </w:r>
          </w:p>
        </w:tc>
        <w:tc>
          <w:tcPr>
            <w:tcW w:w="831" w:type="dxa"/>
            <w:vAlign w:val="center"/>
          </w:tcPr>
          <w:p>
            <w:pPr>
              <w:pStyle w:val="5"/>
              <w:spacing w:line="360" w:lineRule="exact"/>
              <w:jc w:val="center"/>
              <w:rPr>
                <w:rFonts w:hAnsi="宋体"/>
                <w:color w:val="000000"/>
              </w:rPr>
            </w:pPr>
            <w:r>
              <w:rPr>
                <w:rFonts w:hint="eastAsia" w:hAnsi="宋体"/>
                <w:color w:val="000000"/>
              </w:rPr>
              <w:t>评分因素 权重分值</w:t>
            </w:r>
          </w:p>
        </w:tc>
        <w:tc>
          <w:tcPr>
            <w:tcW w:w="1209" w:type="dxa"/>
            <w:vAlign w:val="center"/>
          </w:tcPr>
          <w:p>
            <w:pPr>
              <w:pStyle w:val="5"/>
              <w:spacing w:line="360" w:lineRule="exact"/>
              <w:jc w:val="center"/>
              <w:rPr>
                <w:rFonts w:hAnsi="宋体"/>
                <w:color w:val="000000"/>
              </w:rPr>
            </w:pPr>
            <w:r>
              <w:rPr>
                <w:rStyle w:val="9"/>
              </w:rPr>
              <w:t>各评分因素细分项</w:t>
            </w:r>
          </w:p>
        </w:tc>
        <w:tc>
          <w:tcPr>
            <w:tcW w:w="634" w:type="dxa"/>
            <w:vAlign w:val="center"/>
          </w:tcPr>
          <w:p>
            <w:pPr>
              <w:pStyle w:val="5"/>
              <w:spacing w:line="360" w:lineRule="exact"/>
              <w:jc w:val="center"/>
              <w:rPr>
                <w:rFonts w:hAnsi="宋体"/>
                <w:color w:val="000000"/>
              </w:rPr>
            </w:pPr>
            <w:r>
              <w:rPr>
                <w:rFonts w:hint="eastAsia" w:hAnsi="宋体"/>
                <w:color w:val="000000"/>
              </w:rPr>
              <w:t>分值</w:t>
            </w:r>
          </w:p>
        </w:tc>
        <w:tc>
          <w:tcPr>
            <w:tcW w:w="5496" w:type="dxa"/>
            <w:vMerge w:val="continue"/>
            <w:vAlign w:val="center"/>
          </w:tcPr>
          <w:p>
            <w:pPr>
              <w:pStyle w:val="5"/>
              <w:spacing w:line="360" w:lineRule="exact"/>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pStyle w:val="5"/>
              <w:spacing w:line="360" w:lineRule="exact"/>
              <w:jc w:val="center"/>
              <w:rPr>
                <w:rFonts w:hAnsi="宋体"/>
                <w:color w:val="000000"/>
              </w:rPr>
            </w:pPr>
            <w:r>
              <w:rPr>
                <w:rFonts w:hint="eastAsia" w:hAnsi="宋体"/>
                <w:color w:val="000000"/>
              </w:rPr>
              <w:t>2.2.4（1）</w:t>
            </w:r>
          </w:p>
        </w:tc>
        <w:tc>
          <w:tcPr>
            <w:tcW w:w="741" w:type="dxa"/>
            <w:vMerge w:val="restart"/>
            <w:vAlign w:val="center"/>
          </w:tcPr>
          <w:p>
            <w:pPr>
              <w:pStyle w:val="5"/>
              <w:spacing w:line="360" w:lineRule="exact"/>
              <w:jc w:val="center"/>
              <w:rPr>
                <w:rFonts w:hAnsi="宋体"/>
                <w:color w:val="000000"/>
              </w:rPr>
            </w:pPr>
            <w:r>
              <w:rPr>
                <w:rFonts w:hint="eastAsia" w:hAnsi="宋体"/>
                <w:color w:val="000000"/>
              </w:rPr>
              <w:t>技术建议书</w:t>
            </w:r>
          </w:p>
        </w:tc>
        <w:tc>
          <w:tcPr>
            <w:tcW w:w="831" w:type="dxa"/>
            <w:vMerge w:val="restart"/>
            <w:vAlign w:val="center"/>
          </w:tcPr>
          <w:p>
            <w:pPr>
              <w:pStyle w:val="5"/>
              <w:spacing w:line="360" w:lineRule="exact"/>
              <w:jc w:val="center"/>
              <w:rPr>
                <w:rFonts w:hAnsi="宋体"/>
                <w:color w:val="000000"/>
              </w:rPr>
            </w:pPr>
            <w:r>
              <w:rPr>
                <w:rFonts w:hAnsi="宋体"/>
                <w:color w:val="000000"/>
              </w:rPr>
              <w:t>50</w:t>
            </w:r>
            <w:r>
              <w:rPr>
                <w:rFonts w:hint="eastAsia" w:hAnsi="宋体"/>
                <w:color w:val="000000"/>
              </w:rPr>
              <w:t>分</w:t>
            </w:r>
          </w:p>
        </w:tc>
        <w:tc>
          <w:tcPr>
            <w:tcW w:w="1209" w:type="dxa"/>
            <w:vMerge w:val="restart"/>
            <w:vAlign w:val="center"/>
          </w:tcPr>
          <w:p>
            <w:pPr>
              <w:pStyle w:val="5"/>
              <w:spacing w:line="360" w:lineRule="exact"/>
              <w:jc w:val="center"/>
              <w:rPr>
                <w:rFonts w:hAnsi="宋体"/>
                <w:color w:val="000000"/>
              </w:rPr>
            </w:pPr>
            <w:r>
              <w:rPr>
                <w:rFonts w:hint="eastAsia" w:hAnsi="宋体"/>
                <w:color w:val="000000"/>
              </w:rPr>
              <w:t>对本项目的特点、关键技术问题的认识及其对策措施</w:t>
            </w:r>
          </w:p>
        </w:tc>
        <w:tc>
          <w:tcPr>
            <w:tcW w:w="634" w:type="dxa"/>
            <w:vMerge w:val="restart"/>
            <w:vAlign w:val="center"/>
          </w:tcPr>
          <w:p>
            <w:pPr>
              <w:pStyle w:val="5"/>
              <w:spacing w:line="360" w:lineRule="exact"/>
              <w:jc w:val="center"/>
              <w:rPr>
                <w:rFonts w:hAnsi="宋体"/>
                <w:color w:val="000000"/>
              </w:rPr>
            </w:pPr>
            <w:r>
              <w:rPr>
                <w:rFonts w:hint="eastAsia" w:hAnsi="宋体"/>
                <w:color w:val="000000"/>
              </w:rPr>
              <w:t>1</w:t>
            </w:r>
            <w:r>
              <w:rPr>
                <w:rFonts w:hAnsi="宋体"/>
                <w:color w:val="000000"/>
              </w:rPr>
              <w:t>5</w:t>
            </w:r>
            <w:r>
              <w:rPr>
                <w:rFonts w:hint="eastAsia" w:hAnsi="宋体"/>
                <w:color w:val="000000"/>
              </w:rPr>
              <w:t>分</w:t>
            </w:r>
          </w:p>
        </w:tc>
        <w:tc>
          <w:tcPr>
            <w:tcW w:w="5496" w:type="dxa"/>
            <w:vAlign w:val="center"/>
          </w:tcPr>
          <w:p>
            <w:pPr>
              <w:adjustRightInd w:val="0"/>
              <w:snapToGrid w:val="0"/>
              <w:spacing w:line="360" w:lineRule="exact"/>
              <w:rPr>
                <w:rFonts w:ascii="宋体" w:hAnsi="宋体"/>
                <w:color w:val="000000"/>
                <w:szCs w:val="21"/>
              </w:rPr>
            </w:pPr>
            <w:r>
              <w:rPr>
                <w:rFonts w:hint="eastAsia" w:ascii="宋体" w:hAnsi="宋体"/>
                <w:color w:val="000000"/>
                <w:szCs w:val="21"/>
              </w:rPr>
              <w:t>项目的特点和关键技术问题的针对性一般，技术建议基本可行，得0</w:t>
            </w:r>
            <w:r>
              <w:rPr>
                <w:rFonts w:ascii="宋体" w:hAnsi="宋体"/>
                <w:color w:val="000000"/>
                <w:szCs w:val="21"/>
              </w:rPr>
              <w:t>-5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360" w:lineRule="exact"/>
              <w:jc w:val="center"/>
              <w:rPr>
                <w:rFonts w:hAnsi="宋体"/>
                <w:color w:val="000000"/>
              </w:rPr>
            </w:pPr>
          </w:p>
        </w:tc>
        <w:tc>
          <w:tcPr>
            <w:tcW w:w="741" w:type="dxa"/>
            <w:vMerge w:val="continue"/>
            <w:vAlign w:val="center"/>
          </w:tcPr>
          <w:p>
            <w:pPr>
              <w:pStyle w:val="5"/>
              <w:spacing w:line="360" w:lineRule="exact"/>
              <w:jc w:val="center"/>
              <w:rPr>
                <w:rFonts w:hAnsi="宋体"/>
                <w:color w:val="000000"/>
              </w:rPr>
            </w:pPr>
          </w:p>
        </w:tc>
        <w:tc>
          <w:tcPr>
            <w:tcW w:w="831" w:type="dxa"/>
            <w:vMerge w:val="continue"/>
            <w:vAlign w:val="center"/>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pStyle w:val="5"/>
              <w:spacing w:line="360" w:lineRule="exact"/>
              <w:jc w:val="left"/>
              <w:rPr>
                <w:rFonts w:hAnsi="宋体"/>
                <w:color w:val="000000"/>
                <w:spacing w:val="-4"/>
              </w:rPr>
            </w:pPr>
            <w:r>
              <w:rPr>
                <w:rFonts w:hint="eastAsia" w:hAnsi="宋体"/>
                <w:color w:val="000000"/>
              </w:rPr>
              <w:t>项目的特点和关键技术问题针对性较强，技术建议可行，得</w:t>
            </w:r>
            <w:r>
              <w:rPr>
                <w:rFonts w:hAnsi="宋体"/>
                <w:color w:val="000000"/>
              </w:rPr>
              <w:t>5.1</w:t>
            </w:r>
            <w:r>
              <w:rPr>
                <w:rFonts w:hint="eastAsia" w:hAnsi="宋体"/>
                <w:color w:val="000000"/>
              </w:rPr>
              <w:t>－</w:t>
            </w:r>
            <w:r>
              <w:rPr>
                <w:rFonts w:hAnsi="宋体"/>
                <w:color w:val="000000"/>
              </w:rPr>
              <w:t>10</w:t>
            </w:r>
            <w:r>
              <w:rPr>
                <w:rFonts w:hint="eastAsia" w:hAnsi="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360" w:lineRule="exact"/>
              <w:jc w:val="center"/>
              <w:rPr>
                <w:rFonts w:hAnsi="宋体"/>
                <w:color w:val="000000"/>
              </w:rPr>
            </w:pPr>
          </w:p>
        </w:tc>
        <w:tc>
          <w:tcPr>
            <w:tcW w:w="741" w:type="dxa"/>
            <w:vMerge w:val="continue"/>
            <w:vAlign w:val="center"/>
          </w:tcPr>
          <w:p>
            <w:pPr>
              <w:pStyle w:val="5"/>
              <w:spacing w:line="360" w:lineRule="exact"/>
              <w:jc w:val="center"/>
              <w:rPr>
                <w:rFonts w:hAnsi="宋体"/>
                <w:color w:val="000000"/>
              </w:rPr>
            </w:pPr>
          </w:p>
        </w:tc>
        <w:tc>
          <w:tcPr>
            <w:tcW w:w="831" w:type="dxa"/>
            <w:vMerge w:val="continue"/>
            <w:vAlign w:val="center"/>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pStyle w:val="5"/>
              <w:spacing w:line="360" w:lineRule="exact"/>
              <w:jc w:val="left"/>
              <w:rPr>
                <w:rFonts w:hAnsi="宋体"/>
                <w:color w:val="000000"/>
              </w:rPr>
            </w:pPr>
            <w:r>
              <w:rPr>
                <w:rFonts w:hint="eastAsia" w:hAnsi="宋体"/>
                <w:color w:val="000000"/>
              </w:rPr>
              <w:t>项目的特点针对性强，关键技术问题对策明确、合理，技术建议科学、有效、可行，得</w:t>
            </w:r>
            <w:r>
              <w:rPr>
                <w:rFonts w:hAnsi="宋体"/>
                <w:color w:val="000000"/>
              </w:rPr>
              <w:t>10.1</w:t>
            </w:r>
            <w:r>
              <w:rPr>
                <w:rFonts w:hint="eastAsia" w:hAnsi="宋体"/>
                <w:color w:val="000000"/>
              </w:rPr>
              <w:t>－</w:t>
            </w:r>
            <w:r>
              <w:rPr>
                <w:rFonts w:hAnsi="宋体"/>
                <w:color w:val="000000"/>
              </w:rPr>
              <w:t>15</w:t>
            </w:r>
            <w:r>
              <w:rPr>
                <w:rFonts w:hint="eastAsia" w:hAnsi="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41" w:type="dxa"/>
            <w:vMerge w:val="continue"/>
            <w:vAlign w:val="center"/>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vAlign w:val="center"/>
          </w:tcPr>
          <w:p>
            <w:pPr>
              <w:pStyle w:val="5"/>
              <w:spacing w:line="360" w:lineRule="exact"/>
              <w:jc w:val="center"/>
              <w:rPr>
                <w:rFonts w:hAnsi="宋体"/>
                <w:color w:val="000000"/>
              </w:rPr>
            </w:pPr>
          </w:p>
        </w:tc>
        <w:tc>
          <w:tcPr>
            <w:tcW w:w="1209" w:type="dxa"/>
            <w:vMerge w:val="restart"/>
            <w:vAlign w:val="center"/>
          </w:tcPr>
          <w:p>
            <w:pPr>
              <w:pStyle w:val="5"/>
              <w:spacing w:line="360" w:lineRule="exact"/>
              <w:jc w:val="center"/>
              <w:rPr>
                <w:rFonts w:hAnsi="宋体"/>
                <w:color w:val="000000"/>
              </w:rPr>
            </w:pPr>
            <w:r>
              <w:rPr>
                <w:rFonts w:hint="eastAsia" w:hAnsi="宋体"/>
                <w:color w:val="000000"/>
              </w:rPr>
              <w:t>工作量及计划安排</w:t>
            </w:r>
          </w:p>
        </w:tc>
        <w:tc>
          <w:tcPr>
            <w:tcW w:w="634" w:type="dxa"/>
            <w:vMerge w:val="restart"/>
            <w:vAlign w:val="center"/>
          </w:tcPr>
          <w:p>
            <w:pPr>
              <w:pStyle w:val="5"/>
              <w:spacing w:line="360" w:lineRule="exact"/>
              <w:jc w:val="center"/>
              <w:rPr>
                <w:rFonts w:hAnsi="宋体"/>
                <w:color w:val="000000"/>
              </w:rPr>
            </w:pPr>
            <w:r>
              <w:rPr>
                <w:rFonts w:hAnsi="宋体"/>
                <w:color w:val="000000"/>
              </w:rPr>
              <w:t>15</w:t>
            </w:r>
            <w:r>
              <w:rPr>
                <w:rFonts w:hint="eastAsia" w:hAnsi="宋体"/>
                <w:color w:val="000000"/>
              </w:rPr>
              <w:t>分</w:t>
            </w:r>
          </w:p>
        </w:tc>
        <w:tc>
          <w:tcPr>
            <w:tcW w:w="5496" w:type="dxa"/>
            <w:vAlign w:val="center"/>
          </w:tcPr>
          <w:p>
            <w:pPr>
              <w:adjustRightInd w:val="0"/>
              <w:snapToGrid w:val="0"/>
              <w:spacing w:line="360" w:lineRule="exact"/>
              <w:rPr>
                <w:rFonts w:ascii="宋体" w:hAnsi="宋体"/>
                <w:color w:val="000000"/>
                <w:szCs w:val="21"/>
              </w:rPr>
            </w:pPr>
            <w:r>
              <w:rPr>
                <w:rFonts w:hint="eastAsia" w:ascii="宋体" w:hAnsi="宋体"/>
                <w:color w:val="000000"/>
                <w:szCs w:val="21"/>
              </w:rPr>
              <w:t>工作量及计划安排基本合理，得</w:t>
            </w:r>
            <w:r>
              <w:rPr>
                <w:rFonts w:ascii="宋体" w:hAnsi="宋体"/>
                <w:color w:val="000000"/>
                <w:szCs w:val="21"/>
              </w:rPr>
              <w:t>0-5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pStyle w:val="5"/>
              <w:spacing w:line="360" w:lineRule="exact"/>
              <w:jc w:val="left"/>
              <w:rPr>
                <w:rFonts w:hAnsi="宋体"/>
                <w:color w:val="000000"/>
              </w:rPr>
            </w:pPr>
            <w:r>
              <w:rPr>
                <w:rFonts w:hint="eastAsia" w:hAnsi="宋体"/>
                <w:color w:val="000000"/>
              </w:rPr>
              <w:t>工作量及计划安排合理，得</w:t>
            </w:r>
            <w:r>
              <w:rPr>
                <w:rFonts w:hAnsi="宋体"/>
                <w:color w:val="000000"/>
              </w:rPr>
              <w:t>5.1-10</w:t>
            </w:r>
            <w:r>
              <w:rPr>
                <w:rFonts w:hint="eastAsia" w:hAnsi="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pStyle w:val="5"/>
              <w:spacing w:line="360" w:lineRule="exact"/>
              <w:jc w:val="left"/>
              <w:rPr>
                <w:rFonts w:hAnsi="宋体"/>
                <w:color w:val="000000"/>
              </w:rPr>
            </w:pPr>
            <w:r>
              <w:rPr>
                <w:rFonts w:hint="eastAsia" w:hAnsi="宋体"/>
                <w:color w:val="000000"/>
              </w:rPr>
              <w:t>工作量及计划安排科学，安排周密，得1</w:t>
            </w:r>
            <w:r>
              <w:rPr>
                <w:rFonts w:hAnsi="宋体"/>
                <w:color w:val="000000"/>
              </w:rPr>
              <w:t>0.1</w:t>
            </w:r>
            <w:r>
              <w:rPr>
                <w:rFonts w:hint="eastAsia" w:hAnsi="宋体"/>
                <w:color w:val="00000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vAlign w:val="center"/>
          </w:tcPr>
          <w:p>
            <w:pPr>
              <w:pStyle w:val="5"/>
              <w:spacing w:line="360" w:lineRule="exact"/>
              <w:jc w:val="center"/>
              <w:rPr>
                <w:rFonts w:hAnsi="宋体"/>
                <w:color w:val="000000"/>
              </w:rPr>
            </w:pPr>
          </w:p>
        </w:tc>
        <w:tc>
          <w:tcPr>
            <w:tcW w:w="1209" w:type="dxa"/>
            <w:vMerge w:val="restart"/>
            <w:vAlign w:val="center"/>
          </w:tcPr>
          <w:p>
            <w:pPr>
              <w:adjustRightInd w:val="0"/>
              <w:snapToGrid w:val="0"/>
              <w:spacing w:line="360" w:lineRule="exact"/>
              <w:rPr>
                <w:rFonts w:ascii="宋体" w:hAnsi="宋体"/>
                <w:color w:val="000000"/>
                <w:szCs w:val="21"/>
              </w:rPr>
            </w:pPr>
            <w:r>
              <w:rPr>
                <w:rFonts w:hint="eastAsia" w:ascii="宋体" w:hAnsi="宋体"/>
                <w:color w:val="000000"/>
                <w:szCs w:val="21"/>
              </w:rPr>
              <w:t>质量保证措施、进度保证措施</w:t>
            </w:r>
          </w:p>
        </w:tc>
        <w:tc>
          <w:tcPr>
            <w:tcW w:w="634" w:type="dxa"/>
            <w:vMerge w:val="restart"/>
            <w:vAlign w:val="center"/>
          </w:tcPr>
          <w:p>
            <w:pPr>
              <w:pStyle w:val="5"/>
              <w:spacing w:line="360" w:lineRule="exact"/>
              <w:jc w:val="center"/>
              <w:rPr>
                <w:rFonts w:hAnsi="宋体"/>
                <w:color w:val="000000"/>
              </w:rPr>
            </w:pPr>
            <w:r>
              <w:rPr>
                <w:rFonts w:hAnsi="宋体"/>
                <w:color w:val="000000"/>
              </w:rPr>
              <w:t>15</w:t>
            </w:r>
            <w:r>
              <w:rPr>
                <w:rFonts w:hint="eastAsia" w:hAnsi="宋体"/>
                <w:color w:val="000000"/>
              </w:rPr>
              <w:t>分</w:t>
            </w:r>
          </w:p>
        </w:tc>
        <w:tc>
          <w:tcPr>
            <w:tcW w:w="5496" w:type="dxa"/>
            <w:vAlign w:val="center"/>
          </w:tcPr>
          <w:p>
            <w:pPr>
              <w:adjustRightInd w:val="0"/>
              <w:snapToGrid w:val="0"/>
              <w:spacing w:line="360" w:lineRule="exact"/>
              <w:rPr>
                <w:rFonts w:ascii="宋体" w:hAnsi="宋体"/>
                <w:color w:val="000000"/>
                <w:szCs w:val="21"/>
              </w:rPr>
            </w:pPr>
            <w:r>
              <w:rPr>
                <w:rFonts w:hint="eastAsia" w:ascii="宋体" w:hAnsi="宋体"/>
                <w:color w:val="000000"/>
                <w:szCs w:val="21"/>
              </w:rPr>
              <w:t>内容基本齐全，方法基本合理，可实施性一般，得</w:t>
            </w:r>
            <w:r>
              <w:rPr>
                <w:rFonts w:ascii="宋体" w:hAnsi="宋体"/>
                <w:color w:val="000000"/>
                <w:szCs w:val="21"/>
              </w:rPr>
              <w:t>0-5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spacing w:line="280" w:lineRule="exact"/>
              <w:jc w:val="left"/>
              <w:rPr>
                <w:rFonts w:ascii="宋体" w:hAnsi="宋体"/>
                <w:color w:val="000000"/>
                <w:szCs w:val="21"/>
              </w:rPr>
            </w:pPr>
            <w:r>
              <w:rPr>
                <w:rFonts w:hint="eastAsia" w:ascii="宋体" w:hAnsi="宋体"/>
                <w:color w:val="000000"/>
                <w:szCs w:val="21"/>
              </w:rPr>
              <w:t>内容较齐全，方法较合理，可实施性较好，得</w:t>
            </w:r>
            <w:r>
              <w:rPr>
                <w:rFonts w:ascii="宋体" w:hAnsi="宋体"/>
                <w:color w:val="000000"/>
                <w:szCs w:val="21"/>
              </w:rPr>
              <w:t>5.1-10</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jc w:val="center"/>
              <w:rPr>
                <w:rFonts w:hAnsi="宋体"/>
                <w:color w:val="000000"/>
              </w:rPr>
            </w:pPr>
          </w:p>
        </w:tc>
        <w:tc>
          <w:tcPr>
            <w:tcW w:w="831" w:type="dxa"/>
            <w:vMerge w:val="continue"/>
          </w:tcPr>
          <w:p>
            <w:pPr>
              <w:pStyle w:val="5"/>
              <w:spacing w:line="360" w:lineRule="exact"/>
              <w:jc w:val="center"/>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spacing w:line="280" w:lineRule="exact"/>
              <w:jc w:val="left"/>
              <w:rPr>
                <w:rFonts w:ascii="宋体" w:hAnsi="宋体"/>
                <w:color w:val="000000"/>
                <w:szCs w:val="21"/>
              </w:rPr>
            </w:pPr>
            <w:r>
              <w:rPr>
                <w:rFonts w:hint="eastAsia" w:ascii="宋体" w:hAnsi="宋体"/>
                <w:color w:val="000000"/>
                <w:szCs w:val="21"/>
              </w:rPr>
              <w:t>内容齐全，方法合理、正确，可实施性强，得</w:t>
            </w:r>
            <w:r>
              <w:rPr>
                <w:rFonts w:ascii="宋体" w:hAnsi="宋体"/>
                <w:color w:val="000000"/>
                <w:szCs w:val="21"/>
              </w:rPr>
              <w:t>10.1-15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5"/>
              <w:spacing w:line="360" w:lineRule="exact"/>
              <w:jc w:val="center"/>
              <w:rPr>
                <w:rFonts w:hAnsi="宋体"/>
                <w:color w:val="000000"/>
              </w:rPr>
            </w:pPr>
          </w:p>
        </w:tc>
        <w:tc>
          <w:tcPr>
            <w:tcW w:w="741" w:type="dxa"/>
            <w:vMerge w:val="continue"/>
            <w:vAlign w:val="center"/>
          </w:tcPr>
          <w:p>
            <w:pPr>
              <w:pStyle w:val="5"/>
              <w:spacing w:line="360" w:lineRule="exact"/>
              <w:jc w:val="center"/>
              <w:rPr>
                <w:rFonts w:hAnsi="宋体"/>
                <w:color w:val="000000"/>
              </w:rPr>
            </w:pPr>
          </w:p>
        </w:tc>
        <w:tc>
          <w:tcPr>
            <w:tcW w:w="831" w:type="dxa"/>
            <w:vMerge w:val="continue"/>
            <w:vAlign w:val="center"/>
          </w:tcPr>
          <w:p>
            <w:pPr>
              <w:pStyle w:val="5"/>
              <w:spacing w:line="360" w:lineRule="exact"/>
              <w:jc w:val="center"/>
              <w:rPr>
                <w:rFonts w:hAnsi="宋体"/>
                <w:color w:val="000000"/>
              </w:rPr>
            </w:pPr>
          </w:p>
        </w:tc>
        <w:tc>
          <w:tcPr>
            <w:tcW w:w="1209" w:type="dxa"/>
            <w:vMerge w:val="restart"/>
            <w:vAlign w:val="center"/>
          </w:tcPr>
          <w:p>
            <w:pPr>
              <w:pStyle w:val="5"/>
              <w:spacing w:line="360" w:lineRule="exact"/>
              <w:jc w:val="center"/>
              <w:rPr>
                <w:rFonts w:hAnsi="宋体"/>
                <w:color w:val="000000"/>
              </w:rPr>
            </w:pPr>
            <w:r>
              <w:rPr>
                <w:rFonts w:hint="eastAsia" w:hAnsi="宋体" w:cs="宋体"/>
                <w:color w:val="000000"/>
              </w:rPr>
              <w:t>服务承诺</w:t>
            </w:r>
          </w:p>
        </w:tc>
        <w:tc>
          <w:tcPr>
            <w:tcW w:w="634" w:type="dxa"/>
            <w:vMerge w:val="restart"/>
            <w:vAlign w:val="center"/>
          </w:tcPr>
          <w:p>
            <w:pPr>
              <w:pStyle w:val="5"/>
              <w:spacing w:line="360" w:lineRule="exact"/>
              <w:jc w:val="center"/>
              <w:rPr>
                <w:rFonts w:hAnsi="宋体"/>
                <w:color w:val="000000"/>
              </w:rPr>
            </w:pPr>
            <w:r>
              <w:rPr>
                <w:rFonts w:hint="eastAsia" w:hAnsi="宋体"/>
                <w:color w:val="000000"/>
              </w:rPr>
              <w:t>5分</w:t>
            </w:r>
          </w:p>
        </w:tc>
        <w:tc>
          <w:tcPr>
            <w:tcW w:w="5496" w:type="dxa"/>
            <w:vAlign w:val="center"/>
          </w:tcPr>
          <w:p>
            <w:pPr>
              <w:adjustRightInd w:val="0"/>
              <w:snapToGrid w:val="0"/>
              <w:spacing w:line="360" w:lineRule="exact"/>
              <w:rPr>
                <w:rFonts w:ascii="宋体" w:hAnsi="宋体"/>
                <w:color w:val="000000"/>
                <w:szCs w:val="21"/>
              </w:rPr>
            </w:pPr>
            <w:r>
              <w:rPr>
                <w:rFonts w:hint="eastAsia" w:ascii="宋体" w:hAnsi="宋体"/>
                <w:color w:val="000000"/>
                <w:spacing w:val="-10"/>
                <w:szCs w:val="21"/>
              </w:rPr>
              <w:t>服务承诺欠合理，服务体系不完备，得</w:t>
            </w:r>
            <w:r>
              <w:rPr>
                <w:rFonts w:ascii="宋体" w:hAnsi="宋体"/>
                <w:color w:val="000000"/>
                <w:spacing w:val="-10"/>
                <w:szCs w:val="21"/>
              </w:rPr>
              <w:t>0-2</w:t>
            </w:r>
            <w:r>
              <w:rPr>
                <w:rFonts w:hint="eastAsia" w:ascii="宋体" w:hAnsi="宋体"/>
                <w:color w:val="000000"/>
                <w:spacing w:val="-1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rPr>
                <w:rFonts w:hAnsi="宋体"/>
                <w:color w:val="000000"/>
              </w:rPr>
            </w:pPr>
          </w:p>
        </w:tc>
        <w:tc>
          <w:tcPr>
            <w:tcW w:w="831" w:type="dxa"/>
            <w:vMerge w:val="continue"/>
          </w:tcPr>
          <w:p>
            <w:pPr>
              <w:pStyle w:val="5"/>
              <w:spacing w:line="360" w:lineRule="exact"/>
              <w:rPr>
                <w:rFonts w:hAnsi="宋体"/>
                <w:color w:val="000000"/>
              </w:rPr>
            </w:pPr>
          </w:p>
        </w:tc>
        <w:tc>
          <w:tcPr>
            <w:tcW w:w="1209" w:type="dxa"/>
            <w:vMerge w:val="continue"/>
          </w:tcPr>
          <w:p>
            <w:pPr>
              <w:pStyle w:val="5"/>
              <w:spacing w:line="360" w:lineRule="exact"/>
              <w:jc w:val="center"/>
              <w:rPr>
                <w:rFonts w:hAnsi="宋体"/>
                <w:color w:val="000000"/>
              </w:rPr>
            </w:pPr>
          </w:p>
        </w:tc>
        <w:tc>
          <w:tcPr>
            <w:tcW w:w="634" w:type="dxa"/>
            <w:vMerge w:val="continue"/>
            <w:vAlign w:val="center"/>
          </w:tcPr>
          <w:p>
            <w:pPr>
              <w:pStyle w:val="5"/>
              <w:spacing w:line="360" w:lineRule="exact"/>
              <w:jc w:val="center"/>
              <w:rPr>
                <w:rFonts w:hAnsi="宋体"/>
                <w:color w:val="000000"/>
              </w:rPr>
            </w:pPr>
          </w:p>
        </w:tc>
        <w:tc>
          <w:tcPr>
            <w:tcW w:w="5496" w:type="dxa"/>
            <w:vAlign w:val="center"/>
          </w:tcPr>
          <w:p>
            <w:pPr>
              <w:spacing w:line="360" w:lineRule="exact"/>
              <w:jc w:val="left"/>
              <w:rPr>
                <w:rFonts w:ascii="宋体" w:hAnsi="宋体"/>
                <w:color w:val="000000"/>
                <w:szCs w:val="21"/>
              </w:rPr>
            </w:pPr>
            <w:r>
              <w:rPr>
                <w:rFonts w:hint="eastAsia" w:ascii="宋体" w:hAnsi="宋体"/>
                <w:color w:val="000000"/>
                <w:spacing w:val="-10"/>
                <w:szCs w:val="21"/>
              </w:rPr>
              <w:t>服务承诺较全面、较合理，体系较完备，得</w:t>
            </w:r>
            <w:r>
              <w:rPr>
                <w:rFonts w:ascii="宋体" w:hAnsi="宋体"/>
                <w:color w:val="000000"/>
                <w:spacing w:val="-10"/>
                <w:szCs w:val="21"/>
              </w:rPr>
              <w:t>2.1-3</w:t>
            </w:r>
            <w:r>
              <w:rPr>
                <w:rFonts w:hint="eastAsia" w:ascii="宋体" w:hAnsi="宋体"/>
                <w:color w:val="000000"/>
                <w:spacing w:val="-1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360" w:lineRule="exact"/>
              <w:jc w:val="center"/>
              <w:rPr>
                <w:rFonts w:hAnsi="宋体"/>
                <w:color w:val="000000"/>
              </w:rPr>
            </w:pPr>
          </w:p>
        </w:tc>
        <w:tc>
          <w:tcPr>
            <w:tcW w:w="741" w:type="dxa"/>
            <w:vMerge w:val="continue"/>
          </w:tcPr>
          <w:p>
            <w:pPr>
              <w:pStyle w:val="5"/>
              <w:spacing w:line="360" w:lineRule="exact"/>
              <w:rPr>
                <w:rFonts w:hAnsi="宋体"/>
                <w:color w:val="000000"/>
              </w:rPr>
            </w:pPr>
          </w:p>
        </w:tc>
        <w:tc>
          <w:tcPr>
            <w:tcW w:w="831" w:type="dxa"/>
            <w:vMerge w:val="continue"/>
          </w:tcPr>
          <w:p>
            <w:pPr>
              <w:pStyle w:val="5"/>
              <w:spacing w:line="360" w:lineRule="exact"/>
              <w:rPr>
                <w:rFonts w:hAnsi="宋体"/>
                <w:color w:val="000000"/>
              </w:rPr>
            </w:pPr>
          </w:p>
        </w:tc>
        <w:tc>
          <w:tcPr>
            <w:tcW w:w="1209" w:type="dxa"/>
            <w:vMerge w:val="continue"/>
            <w:tcBorders>
              <w:bottom w:val="single" w:color="auto" w:sz="4" w:space="0"/>
            </w:tcBorders>
          </w:tcPr>
          <w:p>
            <w:pPr>
              <w:pStyle w:val="5"/>
              <w:spacing w:line="360" w:lineRule="exact"/>
              <w:jc w:val="center"/>
              <w:rPr>
                <w:rFonts w:hAnsi="宋体"/>
                <w:color w:val="000000"/>
              </w:rPr>
            </w:pPr>
          </w:p>
        </w:tc>
        <w:tc>
          <w:tcPr>
            <w:tcW w:w="634" w:type="dxa"/>
            <w:vMerge w:val="continue"/>
            <w:tcBorders>
              <w:bottom w:val="single" w:color="auto" w:sz="4" w:space="0"/>
            </w:tcBorders>
            <w:vAlign w:val="center"/>
          </w:tcPr>
          <w:p>
            <w:pPr>
              <w:pStyle w:val="5"/>
              <w:spacing w:line="360" w:lineRule="exact"/>
              <w:jc w:val="center"/>
              <w:rPr>
                <w:rFonts w:hAnsi="宋体"/>
                <w:color w:val="000000"/>
              </w:rPr>
            </w:pPr>
          </w:p>
        </w:tc>
        <w:tc>
          <w:tcPr>
            <w:tcW w:w="5496" w:type="dxa"/>
            <w:tcBorders>
              <w:bottom w:val="single" w:color="auto" w:sz="4" w:space="0"/>
            </w:tcBorders>
          </w:tcPr>
          <w:p>
            <w:pPr>
              <w:spacing w:line="360" w:lineRule="exact"/>
              <w:jc w:val="left"/>
              <w:rPr>
                <w:rFonts w:ascii="宋体" w:hAnsi="宋体"/>
                <w:color w:val="000000"/>
                <w:szCs w:val="21"/>
              </w:rPr>
            </w:pPr>
            <w:r>
              <w:rPr>
                <w:rFonts w:hint="eastAsia" w:ascii="宋体" w:hAnsi="宋体"/>
                <w:color w:val="000000"/>
                <w:spacing w:val="-10"/>
                <w:szCs w:val="21"/>
              </w:rPr>
              <w:t>服务承诺措施全面、合理，体系完备，得</w:t>
            </w:r>
            <w:r>
              <w:rPr>
                <w:rFonts w:ascii="宋体" w:hAnsi="宋体"/>
                <w:color w:val="000000"/>
                <w:spacing w:val="-10"/>
                <w:szCs w:val="21"/>
              </w:rPr>
              <w:t>3.1-5</w:t>
            </w:r>
            <w:r>
              <w:rPr>
                <w:rFonts w:hint="eastAsia" w:ascii="宋体" w:hAnsi="宋体"/>
                <w:color w:val="000000"/>
                <w:spacing w:val="-1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pPr>
              <w:pStyle w:val="5"/>
              <w:spacing w:line="360" w:lineRule="exact"/>
              <w:jc w:val="center"/>
              <w:rPr>
                <w:rFonts w:hAnsi="宋体"/>
                <w:color w:val="000000"/>
              </w:rPr>
            </w:pPr>
            <w:r>
              <w:rPr>
                <w:rFonts w:hint="eastAsia" w:hAnsi="宋体"/>
                <w:color w:val="000000"/>
              </w:rPr>
              <w:t>2.2.4（2）</w:t>
            </w:r>
          </w:p>
        </w:tc>
        <w:tc>
          <w:tcPr>
            <w:tcW w:w="741" w:type="dxa"/>
            <w:tcBorders>
              <w:top w:val="nil"/>
            </w:tcBorders>
            <w:vAlign w:val="center"/>
          </w:tcPr>
          <w:p>
            <w:pPr>
              <w:pStyle w:val="5"/>
              <w:spacing w:line="360" w:lineRule="exact"/>
              <w:jc w:val="center"/>
              <w:rPr>
                <w:rFonts w:hAnsi="宋体"/>
                <w:color w:val="000000"/>
              </w:rPr>
            </w:pPr>
            <w:r>
              <w:rPr>
                <w:rFonts w:hint="eastAsia" w:hAnsi="宋体"/>
                <w:color w:val="000000"/>
              </w:rPr>
              <w:t>主要人员</w:t>
            </w:r>
          </w:p>
        </w:tc>
        <w:tc>
          <w:tcPr>
            <w:tcW w:w="831" w:type="dxa"/>
            <w:tcBorders>
              <w:top w:val="nil"/>
            </w:tcBorders>
            <w:vAlign w:val="center"/>
          </w:tcPr>
          <w:p>
            <w:pPr>
              <w:pStyle w:val="5"/>
              <w:spacing w:line="360" w:lineRule="exact"/>
              <w:jc w:val="center"/>
              <w:rPr>
                <w:rFonts w:hAnsi="宋体"/>
                <w:color w:val="000000"/>
              </w:rPr>
            </w:pPr>
            <w:r>
              <w:rPr>
                <w:rFonts w:hAnsi="宋体"/>
                <w:color w:val="000000"/>
              </w:rPr>
              <w:t>15</w:t>
            </w:r>
            <w:r>
              <w:rPr>
                <w:rFonts w:hint="eastAsia" w:hAnsi="宋体"/>
                <w:color w:val="000000"/>
              </w:rPr>
              <w:t>分</w:t>
            </w:r>
          </w:p>
        </w:tc>
        <w:tc>
          <w:tcPr>
            <w:tcW w:w="1209" w:type="dxa"/>
            <w:tcBorders>
              <w:bottom w:val="single" w:color="auto" w:sz="4" w:space="0"/>
            </w:tcBorders>
            <w:vAlign w:val="center"/>
          </w:tcPr>
          <w:p>
            <w:pPr>
              <w:pStyle w:val="5"/>
              <w:spacing w:line="360" w:lineRule="exact"/>
              <w:jc w:val="center"/>
              <w:rPr>
                <w:rFonts w:hAnsi="宋体"/>
                <w:color w:val="000000"/>
              </w:rPr>
            </w:pPr>
            <w:r>
              <w:rPr>
                <w:color w:val="000000"/>
              </w:rPr>
              <w:t>项目负责人任职资格</w:t>
            </w:r>
          </w:p>
        </w:tc>
        <w:tc>
          <w:tcPr>
            <w:tcW w:w="634" w:type="dxa"/>
            <w:tcBorders>
              <w:bottom w:val="single" w:color="auto" w:sz="4" w:space="0"/>
            </w:tcBorders>
            <w:vAlign w:val="center"/>
          </w:tcPr>
          <w:p>
            <w:pPr>
              <w:pStyle w:val="5"/>
              <w:spacing w:line="360" w:lineRule="exact"/>
              <w:jc w:val="center"/>
              <w:rPr>
                <w:rFonts w:hAnsi="宋体"/>
                <w:color w:val="000000"/>
              </w:rPr>
            </w:pPr>
            <w:r>
              <w:rPr>
                <w:rFonts w:hAnsi="宋体"/>
                <w:color w:val="000000"/>
              </w:rPr>
              <w:t>15</w:t>
            </w:r>
            <w:r>
              <w:rPr>
                <w:rFonts w:hint="eastAsia" w:hAnsi="宋体"/>
                <w:color w:val="000000"/>
              </w:rPr>
              <w:t>分</w:t>
            </w:r>
          </w:p>
        </w:tc>
        <w:tc>
          <w:tcPr>
            <w:tcW w:w="5496" w:type="dxa"/>
            <w:tcBorders>
              <w:bottom w:val="single" w:color="auto" w:sz="4" w:space="0"/>
            </w:tcBorders>
            <w:vAlign w:val="center"/>
          </w:tcPr>
          <w:p>
            <w:pPr>
              <w:spacing w:line="240" w:lineRule="exact"/>
              <w:jc w:val="left"/>
              <w:rPr>
                <w:rFonts w:ascii="宋体" w:hAnsi="宋体"/>
                <w:color w:val="000000"/>
                <w:szCs w:val="21"/>
              </w:rPr>
            </w:pPr>
            <w:r>
              <w:rPr>
                <w:rFonts w:hint="eastAsia" w:ascii="宋体" w:hAnsi="宋体"/>
                <w:color w:val="000000"/>
                <w:szCs w:val="21"/>
              </w:rPr>
              <w:t>通过资格审查得基本分</w:t>
            </w:r>
            <w:r>
              <w:rPr>
                <w:rFonts w:ascii="宋体" w:hAnsi="宋体"/>
                <w:color w:val="000000"/>
                <w:szCs w:val="21"/>
              </w:rPr>
              <w:t>10</w:t>
            </w:r>
            <w:r>
              <w:rPr>
                <w:rFonts w:hint="eastAsia" w:ascii="宋体" w:hAnsi="宋体"/>
                <w:color w:val="000000"/>
                <w:szCs w:val="21"/>
              </w:rPr>
              <w:t>分；</w:t>
            </w:r>
          </w:p>
          <w:p>
            <w:pPr>
              <w:spacing w:line="240" w:lineRule="exact"/>
              <w:rPr>
                <w:rFonts w:hint="eastAsia" w:ascii="宋体" w:hAnsi="宋体"/>
                <w:color w:val="000000"/>
                <w:szCs w:val="21"/>
              </w:rPr>
            </w:pPr>
            <w:r>
              <w:rPr>
                <w:rFonts w:hint="eastAsia" w:ascii="宋体" w:hAnsi="宋体" w:cs="宋体"/>
                <w:color w:val="000000"/>
                <w:szCs w:val="21"/>
              </w:rPr>
              <w:t>项目负责人</w:t>
            </w:r>
            <w:r>
              <w:rPr>
                <w:rFonts w:ascii="宋体" w:hAnsi="宋体" w:cs="宋体"/>
                <w:color w:val="000000"/>
                <w:szCs w:val="21"/>
              </w:rPr>
              <w:t>具有</w:t>
            </w:r>
            <w:r>
              <w:rPr>
                <w:rFonts w:hint="eastAsia" w:ascii="宋体" w:hAnsi="宋体" w:cs="宋体"/>
                <w:color w:val="000000"/>
                <w:szCs w:val="21"/>
              </w:rPr>
              <w:t>高级</w:t>
            </w:r>
            <w:r>
              <w:rPr>
                <w:rFonts w:ascii="宋体" w:hAnsi="宋体" w:cs="宋体"/>
                <w:color w:val="000000"/>
                <w:szCs w:val="21"/>
              </w:rPr>
              <w:t>职称（国土</w:t>
            </w:r>
            <w:r>
              <w:rPr>
                <w:rFonts w:hint="eastAsia" w:ascii="宋体" w:hAnsi="宋体" w:cs="宋体"/>
                <w:color w:val="000000"/>
                <w:szCs w:val="21"/>
              </w:rPr>
              <w:t>或测绘</w:t>
            </w:r>
            <w:r>
              <w:rPr>
                <w:rFonts w:ascii="宋体" w:hAnsi="宋体" w:cs="宋体"/>
                <w:color w:val="000000"/>
                <w:szCs w:val="21"/>
              </w:rPr>
              <w:t>相关</w:t>
            </w:r>
            <w:r>
              <w:rPr>
                <w:rFonts w:hint="eastAsia" w:ascii="宋体" w:hAnsi="宋体" w:cs="宋体"/>
                <w:color w:val="000000"/>
                <w:szCs w:val="21"/>
              </w:rPr>
              <w:t>专业</w:t>
            </w:r>
            <w:r>
              <w:rPr>
                <w:rFonts w:ascii="宋体" w:hAnsi="宋体" w:cs="宋体"/>
                <w:color w:val="000000"/>
                <w:szCs w:val="21"/>
              </w:rPr>
              <w:t>）</w:t>
            </w:r>
            <w:r>
              <w:rPr>
                <w:rFonts w:hint="eastAsia" w:ascii="宋体" w:hAnsi="宋体"/>
                <w:color w:val="000000"/>
                <w:szCs w:val="21"/>
              </w:rPr>
              <w:t>的加</w:t>
            </w:r>
            <w:r>
              <w:rPr>
                <w:rFonts w:ascii="宋体" w:hAnsi="宋体"/>
                <w:color w:val="000000"/>
                <w:szCs w:val="21"/>
              </w:rPr>
              <w:t>2分</w:t>
            </w:r>
            <w:r>
              <w:rPr>
                <w:rFonts w:hint="eastAsia" w:ascii="宋体" w:hAnsi="宋体"/>
                <w:color w:val="000000"/>
                <w:szCs w:val="21"/>
              </w:rPr>
              <w:t>；项目负责人具备自然资源部门颁发的“注册测绘师”证书的加3分；</w:t>
            </w:r>
          </w:p>
          <w:p>
            <w:pPr>
              <w:spacing w:line="240" w:lineRule="exact"/>
              <w:jc w:val="left"/>
              <w:rPr>
                <w:rFonts w:ascii="宋体" w:hAnsi="宋体"/>
                <w:color w:val="000000"/>
                <w:szCs w:val="21"/>
              </w:rPr>
            </w:pPr>
            <w:r>
              <w:rPr>
                <w:rFonts w:hint="eastAsia" w:ascii="宋体" w:hAnsi="宋体"/>
                <w:color w:val="000000"/>
                <w:szCs w:val="21"/>
              </w:rPr>
              <w:t>本项满分</w:t>
            </w:r>
            <w:r>
              <w:rPr>
                <w:rFonts w:ascii="宋体" w:hAnsi="宋体"/>
                <w:color w:val="000000"/>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pPr>
              <w:pStyle w:val="5"/>
              <w:spacing w:line="360" w:lineRule="exact"/>
              <w:jc w:val="center"/>
              <w:rPr>
                <w:rFonts w:hAnsi="宋体"/>
                <w:color w:val="000000"/>
              </w:rPr>
            </w:pPr>
            <w:r>
              <w:rPr>
                <w:rFonts w:hint="eastAsia" w:hAnsi="宋体"/>
                <w:color w:val="000000"/>
              </w:rPr>
              <w:t>2.2.4（3）</w:t>
            </w:r>
          </w:p>
        </w:tc>
        <w:tc>
          <w:tcPr>
            <w:tcW w:w="741" w:type="dxa"/>
            <w:tcBorders>
              <w:top w:val="nil"/>
            </w:tcBorders>
            <w:vAlign w:val="center"/>
          </w:tcPr>
          <w:p>
            <w:pPr>
              <w:pStyle w:val="5"/>
              <w:spacing w:line="360" w:lineRule="exact"/>
              <w:jc w:val="center"/>
              <w:rPr>
                <w:rFonts w:hAnsi="宋体"/>
                <w:color w:val="000000"/>
              </w:rPr>
            </w:pPr>
            <w:r>
              <w:rPr>
                <w:rFonts w:hint="eastAsia" w:hAnsi="宋体"/>
                <w:color w:val="000000"/>
              </w:rPr>
              <w:t>评标价</w:t>
            </w:r>
          </w:p>
        </w:tc>
        <w:tc>
          <w:tcPr>
            <w:tcW w:w="831" w:type="dxa"/>
            <w:tcBorders>
              <w:top w:val="nil"/>
              <w:bottom w:val="single" w:color="auto" w:sz="4" w:space="0"/>
            </w:tcBorders>
            <w:vAlign w:val="center"/>
          </w:tcPr>
          <w:p>
            <w:pPr>
              <w:pStyle w:val="5"/>
              <w:spacing w:line="360" w:lineRule="exact"/>
              <w:jc w:val="center"/>
              <w:rPr>
                <w:rFonts w:hAnsi="宋体"/>
                <w:color w:val="000000"/>
              </w:rPr>
            </w:pPr>
            <w:r>
              <w:rPr>
                <w:rFonts w:hint="eastAsia" w:hAnsi="宋体"/>
                <w:color w:val="000000"/>
              </w:rPr>
              <w:t>10分</w:t>
            </w:r>
          </w:p>
        </w:tc>
        <w:tc>
          <w:tcPr>
            <w:tcW w:w="7339" w:type="dxa"/>
            <w:gridSpan w:val="3"/>
            <w:tcBorders>
              <w:bottom w:val="single" w:color="auto" w:sz="4" w:space="0"/>
            </w:tcBorders>
            <w:vAlign w:val="center"/>
          </w:tcPr>
          <w:p>
            <w:pPr>
              <w:spacing w:line="280" w:lineRule="exact"/>
              <w:rPr>
                <w:rFonts w:ascii="宋体" w:hAnsi="宋体"/>
                <w:color w:val="000000"/>
                <w:szCs w:val="21"/>
              </w:rPr>
            </w:pPr>
            <w:r>
              <w:rPr>
                <w:rFonts w:hint="eastAsia" w:ascii="宋体" w:hAnsi="宋体"/>
                <w:color w:val="000000"/>
                <w:szCs w:val="21"/>
              </w:rPr>
              <w:t>评标价得分计算公式示例：</w:t>
            </w:r>
          </w:p>
          <w:p>
            <w:pPr>
              <w:spacing w:line="280" w:lineRule="exact"/>
              <w:rPr>
                <w:rFonts w:ascii="宋体" w:hAnsi="宋体"/>
                <w:color w:val="000000"/>
                <w:szCs w:val="21"/>
              </w:rPr>
            </w:pPr>
            <w:r>
              <w:rPr>
                <w:rFonts w:hint="eastAsia" w:ascii="宋体" w:hAnsi="宋体"/>
                <w:color w:val="000000"/>
                <w:szCs w:val="21"/>
              </w:rPr>
              <w:t>（1）如果投标人的评标价＞评标基准价，则评标价得分=F-（投标人评标价-评标基准价）/评标基准价×100×E1；</w:t>
            </w:r>
          </w:p>
          <w:p>
            <w:pPr>
              <w:spacing w:line="280" w:lineRule="exact"/>
              <w:rPr>
                <w:rFonts w:ascii="宋体" w:hAnsi="宋体"/>
                <w:color w:val="000000"/>
                <w:szCs w:val="21"/>
              </w:rPr>
            </w:pPr>
            <w:r>
              <w:rPr>
                <w:rFonts w:hint="eastAsia" w:ascii="宋体" w:hAnsi="宋体"/>
                <w:color w:val="000000"/>
                <w:szCs w:val="21"/>
              </w:rPr>
              <w:t>（2）如果投标人的评标价≤评标基准价，则评标价得分=F+(投标人评标价-评标基准价)/评标基准价×100×E2。</w:t>
            </w:r>
          </w:p>
          <w:p>
            <w:pPr>
              <w:spacing w:line="280" w:lineRule="exact"/>
              <w:jc w:val="left"/>
              <w:rPr>
                <w:rFonts w:ascii="宋体" w:hAnsi="宋体"/>
                <w:color w:val="000000"/>
                <w:szCs w:val="21"/>
              </w:rPr>
            </w:pPr>
            <w:r>
              <w:rPr>
                <w:rFonts w:hint="eastAsia" w:ascii="宋体" w:hAnsi="宋体"/>
                <w:color w:val="000000"/>
                <w:szCs w:val="21"/>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41" w:type="dxa"/>
            <w:vAlign w:val="center"/>
          </w:tcPr>
          <w:p>
            <w:pPr>
              <w:pStyle w:val="5"/>
              <w:spacing w:line="360" w:lineRule="exact"/>
              <w:jc w:val="center"/>
              <w:rPr>
                <w:rFonts w:hAnsi="宋体"/>
                <w:color w:val="000000"/>
              </w:rPr>
            </w:pPr>
            <w:r>
              <w:rPr>
                <w:rFonts w:hint="eastAsia" w:hAnsi="宋体"/>
                <w:color w:val="000000"/>
              </w:rPr>
              <w:t>2.2.4（4）</w:t>
            </w:r>
          </w:p>
        </w:tc>
        <w:tc>
          <w:tcPr>
            <w:tcW w:w="741" w:type="dxa"/>
            <w:vAlign w:val="center"/>
          </w:tcPr>
          <w:p>
            <w:pPr>
              <w:pStyle w:val="5"/>
              <w:spacing w:line="360" w:lineRule="exact"/>
              <w:jc w:val="center"/>
              <w:rPr>
                <w:rFonts w:hAnsi="宋体"/>
                <w:color w:val="000000"/>
              </w:rPr>
            </w:pPr>
            <w:r>
              <w:rPr>
                <w:rFonts w:hint="eastAsia" w:hAnsi="宋体"/>
                <w:color w:val="000000"/>
              </w:rPr>
              <w:t>其他因素</w:t>
            </w:r>
          </w:p>
        </w:tc>
        <w:tc>
          <w:tcPr>
            <w:tcW w:w="831" w:type="dxa"/>
            <w:tcBorders>
              <w:top w:val="single" w:color="auto" w:sz="4" w:space="0"/>
            </w:tcBorders>
            <w:vAlign w:val="center"/>
          </w:tcPr>
          <w:p>
            <w:pPr>
              <w:pStyle w:val="5"/>
              <w:spacing w:line="360" w:lineRule="exact"/>
              <w:jc w:val="center"/>
              <w:rPr>
                <w:rFonts w:hAnsi="宋体"/>
                <w:color w:val="000000"/>
              </w:rPr>
            </w:pPr>
            <w:r>
              <w:rPr>
                <w:rFonts w:hint="eastAsia" w:hAnsi="宋体"/>
                <w:color w:val="000000"/>
              </w:rPr>
              <w:t>25分</w:t>
            </w:r>
          </w:p>
        </w:tc>
        <w:tc>
          <w:tcPr>
            <w:tcW w:w="1209" w:type="dxa"/>
            <w:tcBorders>
              <w:top w:val="single" w:color="auto" w:sz="4" w:space="0"/>
            </w:tcBorders>
            <w:vAlign w:val="center"/>
          </w:tcPr>
          <w:p>
            <w:pPr>
              <w:pStyle w:val="5"/>
              <w:spacing w:line="360" w:lineRule="exact"/>
              <w:jc w:val="center"/>
              <w:rPr>
                <w:rFonts w:hAnsi="宋体"/>
                <w:color w:val="000000"/>
              </w:rPr>
            </w:pPr>
            <w:r>
              <w:rPr>
                <w:rFonts w:hint="eastAsia" w:hAnsi="宋体"/>
                <w:color w:val="000000"/>
              </w:rPr>
              <w:t>业绩</w:t>
            </w:r>
          </w:p>
        </w:tc>
        <w:tc>
          <w:tcPr>
            <w:tcW w:w="634" w:type="dxa"/>
            <w:tcBorders>
              <w:top w:val="single" w:color="auto" w:sz="4" w:space="0"/>
            </w:tcBorders>
            <w:vAlign w:val="center"/>
          </w:tcPr>
          <w:p>
            <w:pPr>
              <w:pStyle w:val="5"/>
              <w:spacing w:line="360" w:lineRule="exact"/>
              <w:jc w:val="center"/>
              <w:rPr>
                <w:rFonts w:hAnsi="宋体"/>
                <w:color w:val="000000"/>
              </w:rPr>
            </w:pPr>
            <w:r>
              <w:rPr>
                <w:rFonts w:hAnsi="宋体"/>
                <w:color w:val="000000"/>
              </w:rPr>
              <w:t>25</w:t>
            </w:r>
            <w:r>
              <w:rPr>
                <w:rFonts w:hint="eastAsia" w:hAnsi="宋体"/>
                <w:color w:val="000000"/>
              </w:rPr>
              <w:t>分</w:t>
            </w:r>
          </w:p>
        </w:tc>
        <w:tc>
          <w:tcPr>
            <w:tcW w:w="5496" w:type="dxa"/>
            <w:tcBorders>
              <w:top w:val="single" w:color="auto" w:sz="4" w:space="0"/>
            </w:tcBorders>
            <w:vAlign w:val="center"/>
          </w:tcPr>
          <w:p>
            <w:pPr>
              <w:pStyle w:val="5"/>
              <w:spacing w:line="320" w:lineRule="exact"/>
              <w:jc w:val="left"/>
              <w:rPr>
                <w:color w:val="000000"/>
              </w:rPr>
            </w:pPr>
            <w:r>
              <w:rPr>
                <w:rFonts w:hint="eastAsia"/>
                <w:color w:val="000000"/>
              </w:rPr>
              <w:t>满足招标文件规定的资格审查最低要求得基本分</w:t>
            </w:r>
            <w:r>
              <w:rPr>
                <w:color w:val="000000"/>
              </w:rPr>
              <w:t>15</w:t>
            </w:r>
            <w:r>
              <w:rPr>
                <w:rFonts w:hint="eastAsia"/>
                <w:color w:val="000000"/>
              </w:rPr>
              <w:t>分；</w:t>
            </w:r>
          </w:p>
          <w:p>
            <w:pPr>
              <w:pStyle w:val="5"/>
              <w:spacing w:line="320" w:lineRule="exact"/>
              <w:jc w:val="left"/>
              <w:rPr>
                <w:rFonts w:hAnsi="宋体"/>
                <w:color w:val="000000"/>
              </w:rPr>
            </w:pPr>
            <w:r>
              <w:rPr>
                <w:rFonts w:hint="eastAsia"/>
                <w:color w:val="000000"/>
              </w:rPr>
              <w:t>近</w:t>
            </w:r>
            <w:r>
              <w:rPr>
                <w:color w:val="000000"/>
              </w:rPr>
              <w:t>5年（2017年</w:t>
            </w:r>
            <w:r>
              <w:rPr>
                <w:rFonts w:hint="eastAsia"/>
                <w:color w:val="000000"/>
              </w:rPr>
              <w:t>11月</w:t>
            </w:r>
            <w:r>
              <w:rPr>
                <w:color w:val="000000"/>
              </w:rPr>
              <w:t>1日至</w:t>
            </w:r>
            <w:r>
              <w:rPr>
                <w:rFonts w:hint="eastAsia"/>
                <w:color w:val="000000"/>
              </w:rPr>
              <w:t>开标日</w:t>
            </w:r>
            <w:r>
              <w:rPr>
                <w:color w:val="000000"/>
              </w:rPr>
              <w:t>，</w:t>
            </w:r>
            <w:r>
              <w:rPr>
                <w:rFonts w:hint="eastAsia"/>
                <w:color w:val="000000"/>
              </w:rPr>
              <w:t>以合同签订时间为准）</w:t>
            </w:r>
            <w:r>
              <w:rPr>
                <w:rFonts w:hint="eastAsia" w:hAnsi="宋体"/>
                <w:color w:val="000000"/>
              </w:rPr>
              <w:t>每有1项项目土地组卷及报批业绩5分；最多加10分。</w:t>
            </w:r>
            <w:r>
              <w:rPr>
                <w:rFonts w:hint="eastAsia"/>
                <w:color w:val="000000"/>
              </w:rPr>
              <w:t>本项满分</w:t>
            </w:r>
            <w:r>
              <w:rPr>
                <w:color w:val="000000"/>
              </w:rPr>
              <w:t>2</w:t>
            </w:r>
            <w:r>
              <w:rPr>
                <w:rFonts w:hint="eastAsia"/>
                <w:color w:val="000000"/>
              </w:rPr>
              <w:t>5分。</w:t>
            </w:r>
          </w:p>
        </w:tc>
      </w:tr>
    </w:tbl>
    <w:p>
      <w:pPr>
        <w:pStyle w:val="5"/>
        <w:spacing w:line="480" w:lineRule="exact"/>
        <w:ind w:firstLine="430" w:firstLineChars="204"/>
        <w:rPr>
          <w:rFonts w:hAnsi="宋体"/>
          <w:b/>
          <w:bCs/>
          <w:color w:val="000000"/>
        </w:rPr>
      </w:pPr>
      <w:r>
        <w:rPr>
          <w:rFonts w:hint="eastAsia" w:hAnsi="宋体"/>
          <w:b/>
          <w:bCs/>
          <w:color w:val="000000"/>
        </w:rPr>
        <w:t>注：1、</w:t>
      </w:r>
      <w:r>
        <w:rPr>
          <w:rFonts w:hAnsi="宋体"/>
          <w:b/>
          <w:bCs/>
          <w:color w:val="000000"/>
        </w:rPr>
        <w:t>各评分因素得分应以评标委员会各成员的打分平均值确定</w:t>
      </w:r>
      <w:r>
        <w:rPr>
          <w:rFonts w:hint="eastAsia" w:hAnsi="宋体"/>
          <w:b/>
          <w:bCs/>
          <w:color w:val="000000"/>
        </w:rPr>
        <w:t>。</w:t>
      </w:r>
    </w:p>
    <w:p>
      <w:pPr>
        <w:pStyle w:val="5"/>
        <w:spacing w:line="480" w:lineRule="exact"/>
        <w:ind w:firstLine="430" w:firstLineChars="204"/>
      </w:pPr>
      <w:r>
        <w:rPr>
          <w:rFonts w:hint="eastAsia" w:hAnsi="宋体"/>
          <w:b/>
          <w:bCs/>
          <w:color w:val="000000"/>
        </w:rPr>
        <w:t>2、缺项则该项得0分。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cxMzhkZWI2OWE1MmQ3MzViZDllZTA0MjY3YzEifQ=="/>
  </w:docVars>
  <w:rsids>
    <w:rsidRoot w:val="1EFE3C4B"/>
    <w:rsid w:val="0E5475EB"/>
    <w:rsid w:val="1EFE3C4B"/>
    <w:rsid w:val="20B2410F"/>
    <w:rsid w:val="32AC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spacing w:line="520" w:lineRule="exact"/>
    </w:pPr>
    <w:rPr>
      <w:rFonts w:ascii="仿宋_GB2312" w:hAnsi="宋体" w:eastAsia="仿宋_GB2312"/>
      <w:b/>
      <w:bCs/>
      <w:sz w:val="24"/>
    </w:rPr>
  </w:style>
  <w:style w:type="paragraph" w:styleId="5">
    <w:name w:val="Plain Text"/>
    <w:basedOn w:val="1"/>
    <w:qFormat/>
    <w:uiPriority w:val="0"/>
    <w:rPr>
      <w:rFonts w:ascii="宋体" w:cs="Courier New" w:hAnsiTheme="minorHAnsi" w:eastAsiaTheme="minorEastAsia"/>
      <w:szCs w:val="21"/>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2022-11-28T11:54:00Z</dcterms:created>
  <dc:creator>独守一座空城ノ苍颜了谁</dc:creator>
  <cp:lastModifiedBy>独守一座空城ノ苍颜了谁</cp:lastModifiedBy>
  <dcterms:modified xsi:type="dcterms:W3CDTF">2022-11-28T12:01:18Z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9B9BAF2BF43B4C1FB30C75D2F0E04281</vt:lpwstr>
  </property>
</Properties>
</file>