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40" w:lineRule="exact"/>
        <w:rPr>
          <w:rFonts w:ascii="宋体" w:hAnsi="宋体"/>
          <w:b/>
          <w:bCs/>
          <w:sz w:val="24"/>
        </w:rPr>
      </w:pPr>
      <w:r>
        <w:rPr>
          <w:rFonts w:hint="eastAsia" w:ascii="宋体" w:hAnsi="宋体"/>
          <w:b/>
          <w:bCs/>
          <w:sz w:val="24"/>
        </w:rPr>
        <w:t>附件</w:t>
      </w:r>
      <w:r>
        <w:rPr>
          <w:rFonts w:ascii="宋体" w:hAnsi="宋体"/>
          <w:b/>
          <w:bCs/>
          <w:sz w:val="24"/>
        </w:rPr>
        <w:t>2</w:t>
      </w:r>
      <w:r>
        <w:rPr>
          <w:rFonts w:hint="eastAsia" w:ascii="宋体" w:hAnsi="宋体"/>
          <w:b/>
          <w:bCs/>
          <w:sz w:val="24"/>
        </w:rPr>
        <w:t>：评标办法</w:t>
      </w:r>
    </w:p>
    <w:p>
      <w:pPr>
        <w:pStyle w:val="2"/>
        <w:spacing w:before="156" w:beforeLines="50" w:after="156" w:afterLines="50" w:line="240" w:lineRule="auto"/>
        <w:rPr>
          <w:rFonts w:hint="eastAsia" w:ascii="宋体" w:hAnsi="宋体"/>
          <w:szCs w:val="24"/>
        </w:rPr>
      </w:pPr>
      <w:r>
        <w:rPr>
          <w:rFonts w:ascii="宋体" w:hAnsi="宋体"/>
          <w:szCs w:val="24"/>
        </w:rPr>
        <w:t>评标办法前附表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961"/>
        <w:gridCol w:w="7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jc w:val="center"/>
        </w:trPr>
        <w:tc>
          <w:tcPr>
            <w:tcW w:w="1714" w:type="dxa"/>
            <w:gridSpan w:val="2"/>
            <w:vAlign w:val="center"/>
          </w:tcPr>
          <w:p>
            <w:pPr>
              <w:jc w:val="center"/>
              <w:rPr>
                <w:rFonts w:hint="eastAsia" w:ascii="宋体" w:hAnsi="宋体"/>
                <w:b/>
              </w:rPr>
            </w:pPr>
            <w:r>
              <w:rPr>
                <w:rFonts w:hint="eastAsia" w:ascii="宋体" w:hAnsi="宋体"/>
                <w:b/>
                <w:szCs w:val="21"/>
              </w:rPr>
              <w:t>条款号</w:t>
            </w:r>
          </w:p>
        </w:tc>
        <w:tc>
          <w:tcPr>
            <w:tcW w:w="7919" w:type="dxa"/>
            <w:vAlign w:val="center"/>
          </w:tcPr>
          <w:p>
            <w:pPr>
              <w:jc w:val="center"/>
              <w:rPr>
                <w:rFonts w:hint="eastAsia" w:ascii="宋体" w:hAnsi="宋体"/>
                <w:b/>
              </w:rPr>
            </w:pPr>
            <w:r>
              <w:rPr>
                <w:rFonts w:hint="eastAsia" w:ascii="宋体" w:hAnsi="宋体"/>
                <w:b/>
                <w:szCs w:val="21"/>
              </w:rPr>
              <w:t>评审因素</w:t>
            </w:r>
            <w:r>
              <w:rPr>
                <w:rFonts w:hint="eastAsia" w:ascii="宋体" w:hAnsi="宋体"/>
                <w:b/>
              </w:rPr>
              <w:t>与评审</w:t>
            </w:r>
            <w:r>
              <w:rPr>
                <w:rFonts w:hint="eastAsia" w:ascii="宋体" w:hAnsi="宋体"/>
                <w:b/>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53" w:type="dxa"/>
            <w:vAlign w:val="center"/>
          </w:tcPr>
          <w:p>
            <w:pPr>
              <w:jc w:val="center"/>
              <w:rPr>
                <w:rFonts w:hint="eastAsia" w:ascii="宋体" w:hAnsi="宋体"/>
                <w:szCs w:val="21"/>
              </w:rPr>
            </w:pPr>
            <w:r>
              <w:rPr>
                <w:rFonts w:hint="eastAsia" w:ascii="宋体" w:hAnsi="宋体"/>
                <w:szCs w:val="21"/>
              </w:rPr>
              <w:t xml:space="preserve">1 </w:t>
            </w:r>
          </w:p>
        </w:tc>
        <w:tc>
          <w:tcPr>
            <w:tcW w:w="961" w:type="dxa"/>
            <w:vAlign w:val="center"/>
          </w:tcPr>
          <w:p>
            <w:pPr>
              <w:jc w:val="center"/>
              <w:rPr>
                <w:rFonts w:hint="eastAsia" w:ascii="宋体" w:hAnsi="宋体"/>
                <w:szCs w:val="21"/>
              </w:rPr>
            </w:pPr>
            <w:r>
              <w:rPr>
                <w:rFonts w:hint="eastAsia" w:ascii="宋体" w:hAnsi="宋体"/>
                <w:szCs w:val="21"/>
              </w:rPr>
              <w:t>评标办法</w:t>
            </w:r>
          </w:p>
        </w:tc>
        <w:tc>
          <w:tcPr>
            <w:tcW w:w="7919" w:type="dxa"/>
            <w:vAlign w:val="center"/>
          </w:tcPr>
          <w:p>
            <w:pPr>
              <w:tabs>
                <w:tab w:val="left" w:pos="3060"/>
              </w:tabs>
              <w:spacing w:line="320" w:lineRule="exact"/>
              <w:rPr>
                <w:rFonts w:hint="eastAsia" w:ascii="宋体" w:hAnsi="宋体"/>
                <w:szCs w:val="21"/>
              </w:rPr>
            </w:pPr>
            <w:r>
              <w:rPr>
                <w:rFonts w:hint="eastAsia" w:ascii="宋体" w:hAnsi="宋体"/>
                <w:szCs w:val="21"/>
              </w:rPr>
              <w:t>评标价相等时，评标委员会依次按照以下优先顺序推荐中标候选人或确定中标人：</w:t>
            </w:r>
          </w:p>
          <w:p>
            <w:pPr>
              <w:tabs>
                <w:tab w:val="left" w:pos="3060"/>
              </w:tabs>
              <w:spacing w:line="320" w:lineRule="exact"/>
              <w:ind w:firstLine="210" w:firstLineChars="100"/>
              <w:rPr>
                <w:rFonts w:hint="eastAsia" w:ascii="宋体" w:hAnsi="宋体"/>
                <w:szCs w:val="21"/>
              </w:rPr>
            </w:pPr>
            <w:r>
              <w:rPr>
                <w:rFonts w:hint="eastAsia" w:ascii="宋体" w:hAnsi="宋体"/>
                <w:szCs w:val="21"/>
              </w:rPr>
              <w:t>（1）投标报价低的优先；</w:t>
            </w:r>
          </w:p>
          <w:p>
            <w:pPr>
              <w:spacing w:line="276" w:lineRule="auto"/>
              <w:ind w:firstLine="210" w:firstLineChars="100"/>
              <w:jc w:val="left"/>
              <w:rPr>
                <w:rFonts w:hint="eastAsia" w:ascii="宋体" w:hAnsi="宋体"/>
                <w:szCs w:val="21"/>
              </w:rPr>
            </w:pPr>
            <w:r>
              <w:rPr>
                <w:rFonts w:hint="eastAsia" w:ascii="宋体" w:hAnsi="宋体"/>
                <w:szCs w:val="21"/>
              </w:rPr>
              <w:t>（2）商务和技术得分较高的投标人优先。</w:t>
            </w:r>
          </w:p>
          <w:p>
            <w:pPr>
              <w:spacing w:line="276" w:lineRule="auto"/>
              <w:ind w:firstLine="420" w:firstLineChars="200"/>
              <w:jc w:val="left"/>
              <w:rPr>
                <w:rFonts w:hint="eastAsia" w:ascii="宋体" w:hAnsi="宋体"/>
                <w:szCs w:val="21"/>
              </w:rPr>
            </w:pPr>
            <w:r>
              <w:rPr>
                <w:rFonts w:hint="eastAsia" w:ascii="宋体" w:hAnsi="宋体"/>
                <w:szCs w:val="21"/>
              </w:rPr>
              <w:t>评标委员会评审通过第一信封商务及技术文件评审的投标人少于 3 个的，评标委员会应否决全部投标；评标委员会评审通过第二信封报价文件评审的投标人少于 3 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53" w:type="dxa"/>
            <w:vAlign w:val="center"/>
          </w:tcPr>
          <w:p>
            <w:pPr>
              <w:jc w:val="center"/>
              <w:rPr>
                <w:rFonts w:hint="eastAsia" w:ascii="宋体" w:hAnsi="宋体"/>
              </w:rPr>
            </w:pPr>
            <w:r>
              <w:rPr>
                <w:rFonts w:hint="eastAsia" w:ascii="宋体" w:hAnsi="宋体"/>
              </w:rPr>
              <w:t>2.1.1</w:t>
            </w:r>
          </w:p>
          <w:p>
            <w:pPr>
              <w:jc w:val="center"/>
              <w:rPr>
                <w:rFonts w:hint="eastAsia" w:ascii="宋体" w:hAnsi="宋体"/>
              </w:rPr>
            </w:pPr>
            <w:r>
              <w:rPr>
                <w:rFonts w:hint="eastAsia" w:ascii="宋体" w:hAnsi="宋体"/>
              </w:rPr>
              <w:t>2.1.3</w:t>
            </w:r>
          </w:p>
        </w:tc>
        <w:tc>
          <w:tcPr>
            <w:tcW w:w="961" w:type="dxa"/>
            <w:vAlign w:val="center"/>
          </w:tcPr>
          <w:p>
            <w:pPr>
              <w:jc w:val="center"/>
              <w:rPr>
                <w:rFonts w:hint="eastAsia" w:ascii="宋体" w:hAnsi="宋体"/>
              </w:rPr>
            </w:pPr>
            <w:r>
              <w:rPr>
                <w:rFonts w:hint="eastAsia" w:ascii="宋体" w:hAnsi="宋体"/>
                <w:szCs w:val="21"/>
              </w:rPr>
              <w:t>形式评审与响应性评审标准</w:t>
            </w:r>
          </w:p>
        </w:tc>
        <w:tc>
          <w:tcPr>
            <w:tcW w:w="7919" w:type="dxa"/>
          </w:tcPr>
          <w:p>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pPr>
              <w:tabs>
                <w:tab w:val="left" w:pos="3060"/>
              </w:tabs>
              <w:spacing w:line="320" w:lineRule="exact"/>
              <w:ind w:firstLine="210" w:firstLineChars="100"/>
              <w:rPr>
                <w:rFonts w:hint="eastAsia" w:ascii="宋体" w:hAnsi="宋体"/>
                <w:szCs w:val="21"/>
              </w:rPr>
            </w:pPr>
            <w:r>
              <w:rPr>
                <w:rFonts w:hint="eastAsia" w:ascii="宋体" w:hAnsi="宋体"/>
                <w:szCs w:val="21"/>
              </w:rPr>
              <w:t>（1）投标文件按照招标文件规定的格式、内容填写，字迹清晰可辩：</w:t>
            </w:r>
          </w:p>
          <w:p>
            <w:pPr>
              <w:tabs>
                <w:tab w:val="left" w:pos="3060"/>
              </w:tabs>
              <w:spacing w:line="320" w:lineRule="exact"/>
              <w:ind w:firstLine="420" w:firstLineChars="200"/>
              <w:rPr>
                <w:rFonts w:hint="eastAsia" w:ascii="宋体" w:hAnsi="宋体"/>
                <w:szCs w:val="21"/>
              </w:rPr>
            </w:pPr>
            <w:r>
              <w:rPr>
                <w:rFonts w:hint="eastAsia" w:ascii="宋体" w:hAnsi="宋体"/>
                <w:szCs w:val="21"/>
              </w:rPr>
              <w:t>a、投标函按招标文件规定填报了项目名称、补遗书编号（如有）、工期、工程质量要求及安全目标、项目经理和项目总工姓名；</w:t>
            </w:r>
          </w:p>
          <w:p>
            <w:pPr>
              <w:tabs>
                <w:tab w:val="left" w:pos="3060"/>
              </w:tabs>
              <w:spacing w:line="320" w:lineRule="exact"/>
              <w:ind w:firstLine="420" w:firstLineChars="200"/>
              <w:rPr>
                <w:rFonts w:hint="eastAsia" w:ascii="宋体" w:hAnsi="宋体"/>
                <w:szCs w:val="21"/>
              </w:rPr>
            </w:pPr>
            <w:r>
              <w:rPr>
                <w:rFonts w:hint="eastAsia" w:ascii="宋体" w:hAnsi="宋体"/>
                <w:szCs w:val="21"/>
              </w:rPr>
              <w:t>b、投标函附录的所有数据均符合招标文件规定；</w:t>
            </w:r>
          </w:p>
          <w:p>
            <w:pPr>
              <w:tabs>
                <w:tab w:val="left" w:pos="3060"/>
              </w:tabs>
              <w:spacing w:line="320" w:lineRule="exact"/>
              <w:ind w:firstLine="420" w:firstLineChars="200"/>
              <w:rPr>
                <w:rFonts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210" w:firstLineChars="100"/>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pPr>
              <w:tabs>
                <w:tab w:val="left" w:pos="3060"/>
              </w:tabs>
              <w:spacing w:line="320" w:lineRule="exact"/>
              <w:ind w:firstLine="210" w:firstLineChars="100"/>
              <w:rPr>
                <w:rFonts w:hint="eastAsia" w:ascii="宋体" w:hAnsi="宋体"/>
                <w:szCs w:val="21"/>
              </w:rPr>
            </w:pPr>
            <w:r>
              <w:rPr>
                <w:rFonts w:hint="eastAsia" w:ascii="宋体" w:hAnsi="宋体"/>
                <w:szCs w:val="21"/>
              </w:rPr>
              <w:t>（3）投标人按照招标文件的规定提供了投标保证金：</w:t>
            </w:r>
          </w:p>
          <w:p>
            <w:pPr>
              <w:spacing w:line="286" w:lineRule="exact"/>
              <w:ind w:firstLine="386" w:firstLineChars="184"/>
              <w:jc w:val="left"/>
              <w:rPr>
                <w:rFonts w:hint="eastAsia" w:ascii="宋体" w:hAnsi="宋体" w:cs="宋体"/>
                <w:szCs w:val="21"/>
                <w:lang w:bidi="ar"/>
              </w:rPr>
            </w:pPr>
            <w:r>
              <w:rPr>
                <w:rFonts w:hint="eastAsia" w:ascii="宋体" w:hAnsi="宋体" w:cs="宋体"/>
                <w:szCs w:val="21"/>
                <w:lang w:bidi="ar"/>
              </w:rPr>
              <w:t>a．投标保证金金额符合招标文件规定的金额，且投标保证金有效期不少于投标有效期；</w:t>
            </w:r>
          </w:p>
          <w:p>
            <w:pPr>
              <w:spacing w:line="286" w:lineRule="exact"/>
              <w:ind w:firstLine="386" w:firstLineChars="184"/>
              <w:jc w:val="left"/>
              <w:rPr>
                <w:rFonts w:hint="eastAsia" w:ascii="宋体" w:hAnsi="宋体" w:cs="宋体"/>
                <w:szCs w:val="21"/>
                <w:lang w:bidi="ar"/>
              </w:rPr>
            </w:pPr>
            <w:r>
              <w:rPr>
                <w:rFonts w:hint="eastAsia" w:ascii="宋体" w:hAnsi="宋体" w:cs="宋体"/>
                <w:szCs w:val="21"/>
                <w:lang w:bidi="ar"/>
              </w:rPr>
              <w:t>b.若投标保证金采用电汇或转账或支票或汇票或本票形式提交，投标人应在递交投标文件截止时间之前，将投标保证金由投标人的基本账户转入招标人指定账户；</w:t>
            </w:r>
          </w:p>
          <w:p>
            <w:pPr>
              <w:spacing w:line="286" w:lineRule="exact"/>
              <w:ind w:firstLine="386" w:firstLineChars="184"/>
              <w:jc w:val="left"/>
              <w:rPr>
                <w:rFonts w:ascii="宋体" w:hAnsi="宋体" w:cs="宋体"/>
                <w:szCs w:val="21"/>
                <w:lang w:bidi="ar"/>
              </w:rPr>
            </w:pPr>
            <w:r>
              <w:rPr>
                <w:rFonts w:hint="eastAsia" w:ascii="宋体" w:hAnsi="宋体" w:cs="宋体"/>
                <w:szCs w:val="21"/>
                <w:lang w:bidi="ar"/>
              </w:rPr>
              <w:t>c.若投标保证金采用银行保函形式提交，银行保函的格式、开具保函的银行均满足招标文件要求，且在递交投标文件截止时间之前向招标人提交了银行保函原件。</w:t>
            </w:r>
          </w:p>
          <w:p>
            <w:pPr>
              <w:tabs>
                <w:tab w:val="left" w:pos="3060"/>
              </w:tabs>
              <w:spacing w:line="320" w:lineRule="exact"/>
              <w:ind w:firstLine="420" w:firstLineChars="200"/>
              <w:rPr>
                <w:rFonts w:hint="eastAsia" w:ascii="宋体" w:hAnsi="宋体"/>
                <w:szCs w:val="21"/>
              </w:rPr>
            </w:pPr>
            <w:r>
              <w:rPr>
                <w:rFonts w:hint="eastAsia" w:ascii="宋体" w:hAnsi="宋体" w:cs="宋体"/>
                <w:szCs w:val="21"/>
                <w:lang w:bidi="ar"/>
              </w:rPr>
              <w:t>d</w:t>
            </w:r>
            <w:r>
              <w:rPr>
                <w:rFonts w:ascii="宋体" w:hAnsi="宋体" w:cs="宋体"/>
                <w:szCs w:val="21"/>
                <w:lang w:bidi="ar"/>
              </w:rPr>
              <w:t>.</w:t>
            </w:r>
            <w:r>
              <w:rPr>
                <w:rFonts w:hint="eastAsia" w:ascii="宋体" w:hAnsi="宋体" w:cs="宋体"/>
                <w:szCs w:val="21"/>
                <w:lang w:bidi="ar"/>
              </w:rPr>
              <w:t>若投标保证金采用电子保证保险形式提交，应通过投标人的基本账户购买。</w:t>
            </w:r>
          </w:p>
          <w:p>
            <w:pPr>
              <w:tabs>
                <w:tab w:val="left" w:pos="3060"/>
              </w:tabs>
              <w:spacing w:line="320" w:lineRule="exact"/>
              <w:ind w:firstLine="210" w:firstLineChars="100"/>
              <w:rPr>
                <w:rFonts w:hint="eastAsia" w:ascii="宋体" w:hAnsi="宋体"/>
                <w:szCs w:val="21"/>
              </w:rPr>
            </w:pPr>
            <w:r>
              <w:rPr>
                <w:rFonts w:hint="eastAsia" w:ascii="宋体" w:hAnsi="宋体"/>
                <w:szCs w:val="21"/>
              </w:rPr>
              <w:t>（4）投标人法定代表人授权委托代理人签署投标文件的，需提交授权委托书，且符合招标文件规定。</w:t>
            </w:r>
          </w:p>
          <w:p>
            <w:pPr>
              <w:tabs>
                <w:tab w:val="left" w:pos="3060"/>
              </w:tabs>
              <w:spacing w:line="320" w:lineRule="exact"/>
              <w:ind w:firstLine="210" w:firstLineChars="100"/>
              <w:rPr>
                <w:rFonts w:hint="eastAsia" w:ascii="宋体" w:hAnsi="宋体"/>
                <w:szCs w:val="21"/>
              </w:rPr>
            </w:pPr>
            <w:r>
              <w:rPr>
                <w:rFonts w:hint="eastAsia" w:ascii="宋体" w:hAnsi="宋体"/>
                <w:szCs w:val="21"/>
              </w:rPr>
              <w:t>（5）投标人法定代表人亲自签署投标文件的，提供了法定代表人身份证明，且符合招标文件规定。</w:t>
            </w:r>
          </w:p>
          <w:p>
            <w:pPr>
              <w:tabs>
                <w:tab w:val="left" w:pos="3060"/>
              </w:tabs>
              <w:spacing w:line="320" w:lineRule="exact"/>
              <w:ind w:firstLine="210" w:firstLineChars="100"/>
              <w:rPr>
                <w:rFonts w:hint="eastAsia" w:ascii="宋体" w:hAnsi="宋体"/>
                <w:szCs w:val="21"/>
              </w:rPr>
            </w:pPr>
            <w:r>
              <w:rPr>
                <w:rFonts w:hint="eastAsia" w:ascii="宋体" w:hAnsi="宋体"/>
                <w:szCs w:val="21"/>
              </w:rPr>
              <w:t>（6）投标人未以联合体形式投标。</w:t>
            </w:r>
          </w:p>
          <w:p>
            <w:pPr>
              <w:tabs>
                <w:tab w:val="left" w:pos="3060"/>
              </w:tabs>
              <w:spacing w:line="320" w:lineRule="exact"/>
              <w:ind w:firstLine="210" w:firstLineChars="100"/>
              <w:rPr>
                <w:rFonts w:hint="eastAsia" w:ascii="宋体" w:hAnsi="宋体"/>
                <w:szCs w:val="21"/>
              </w:rPr>
            </w:pPr>
            <w:r>
              <w:rPr>
                <w:rFonts w:hint="eastAsia" w:ascii="宋体" w:hAnsi="宋体"/>
                <w:szCs w:val="21"/>
              </w:rPr>
              <w:t>（7）投标人未提出分包计划。</w:t>
            </w:r>
          </w:p>
          <w:p>
            <w:pPr>
              <w:tabs>
                <w:tab w:val="left" w:pos="3060"/>
              </w:tabs>
              <w:spacing w:line="320" w:lineRule="exact"/>
              <w:ind w:firstLine="210" w:firstLineChars="100"/>
              <w:rPr>
                <w:rFonts w:hint="eastAsia" w:ascii="宋体" w:hAnsi="宋体"/>
                <w:szCs w:val="21"/>
              </w:rPr>
            </w:pPr>
            <w:r>
              <w:rPr>
                <w:rFonts w:hint="eastAsia" w:ascii="宋体" w:hAnsi="宋体"/>
                <w:szCs w:val="21"/>
              </w:rPr>
              <w:t>（8）同一投标人未提交两个以上不同的投标文件。</w:t>
            </w:r>
          </w:p>
          <w:p>
            <w:pPr>
              <w:tabs>
                <w:tab w:val="left" w:pos="3060"/>
              </w:tabs>
              <w:spacing w:line="320" w:lineRule="exact"/>
              <w:ind w:firstLine="210" w:firstLineChars="100"/>
              <w:rPr>
                <w:rFonts w:hint="eastAsia" w:ascii="宋体" w:hAnsi="宋体"/>
                <w:szCs w:val="21"/>
              </w:rPr>
            </w:pPr>
            <w:r>
              <w:rPr>
                <w:rFonts w:hint="eastAsia" w:ascii="宋体" w:hAnsi="宋体"/>
                <w:szCs w:val="21"/>
              </w:rPr>
              <w:t>（9）投标文件中未出现有关投标报价的内容。</w:t>
            </w:r>
          </w:p>
          <w:p>
            <w:pPr>
              <w:tabs>
                <w:tab w:val="left" w:pos="3060"/>
              </w:tabs>
              <w:spacing w:line="320" w:lineRule="exact"/>
              <w:ind w:firstLine="210" w:firstLineChars="100"/>
              <w:rPr>
                <w:rFonts w:hint="eastAsia" w:ascii="宋体" w:hAnsi="宋体"/>
                <w:szCs w:val="21"/>
              </w:rPr>
            </w:pPr>
            <w:r>
              <w:rPr>
                <w:rFonts w:hint="eastAsia" w:ascii="宋体" w:hAnsi="宋体"/>
                <w:szCs w:val="21"/>
              </w:rPr>
              <w:t>（10）投标文件载明的招标项目完成期限未超过招标文件规定的时限。</w:t>
            </w:r>
          </w:p>
          <w:p>
            <w:pPr>
              <w:tabs>
                <w:tab w:val="left" w:pos="3060"/>
              </w:tabs>
              <w:spacing w:line="320" w:lineRule="exact"/>
              <w:ind w:firstLine="210" w:firstLineChars="100"/>
              <w:rPr>
                <w:rFonts w:hint="eastAsia" w:ascii="宋体" w:hAnsi="宋体"/>
                <w:szCs w:val="21"/>
              </w:rPr>
            </w:pPr>
            <w:r>
              <w:rPr>
                <w:rFonts w:hint="eastAsia" w:ascii="宋体" w:hAnsi="宋体"/>
                <w:szCs w:val="21"/>
              </w:rPr>
              <w:t>（11）投标文件对招标文件的实质性要求和条件作出响应。</w:t>
            </w:r>
          </w:p>
          <w:p>
            <w:pPr>
              <w:tabs>
                <w:tab w:val="left" w:pos="3060"/>
              </w:tabs>
              <w:spacing w:line="320" w:lineRule="exact"/>
              <w:ind w:firstLine="210" w:firstLineChars="100"/>
              <w:rPr>
                <w:rFonts w:hint="eastAsia" w:ascii="宋体" w:hAnsi="宋体"/>
                <w:szCs w:val="21"/>
              </w:rPr>
            </w:pPr>
            <w:r>
              <w:rPr>
                <w:rFonts w:hint="eastAsia" w:ascii="宋体" w:hAnsi="宋体"/>
                <w:szCs w:val="21"/>
              </w:rPr>
              <w:t>（12）权利义务符合招标文件规定：</w:t>
            </w:r>
          </w:p>
          <w:p>
            <w:pPr>
              <w:tabs>
                <w:tab w:val="left" w:pos="3060"/>
              </w:tabs>
              <w:spacing w:line="320" w:lineRule="exact"/>
              <w:ind w:firstLine="210" w:firstLineChars="100"/>
              <w:rPr>
                <w:rFonts w:hint="eastAsia"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20" w:lineRule="exact"/>
              <w:ind w:firstLine="210" w:firstLineChars="100"/>
              <w:rPr>
                <w:rFonts w:hint="eastAsia" w:ascii="宋体" w:hAnsi="宋体"/>
                <w:szCs w:val="21"/>
              </w:rPr>
            </w:pPr>
            <w:r>
              <w:rPr>
                <w:rFonts w:hint="eastAsia" w:ascii="宋体" w:hAnsi="宋体"/>
                <w:szCs w:val="21"/>
              </w:rPr>
              <w:t>b.投标人未增加发包人的责任范围，或减少投标人义务；</w:t>
            </w:r>
          </w:p>
          <w:p>
            <w:pPr>
              <w:tabs>
                <w:tab w:val="left" w:pos="3060"/>
              </w:tabs>
              <w:spacing w:line="320" w:lineRule="exact"/>
              <w:ind w:firstLine="210" w:firstLineChars="100"/>
              <w:rPr>
                <w:rFonts w:hint="eastAsia" w:ascii="宋体" w:hAnsi="宋体"/>
                <w:szCs w:val="21"/>
              </w:rPr>
            </w:pPr>
            <w:r>
              <w:rPr>
                <w:rFonts w:hint="eastAsia" w:ascii="宋体" w:hAnsi="宋体"/>
                <w:szCs w:val="21"/>
              </w:rPr>
              <w:t>c.投标人未提出不同的工程验收、计量、支付办法；</w:t>
            </w:r>
          </w:p>
          <w:p>
            <w:pPr>
              <w:tabs>
                <w:tab w:val="left" w:pos="3060"/>
              </w:tabs>
              <w:spacing w:line="320" w:lineRule="exact"/>
              <w:ind w:firstLine="210" w:firstLineChars="100"/>
              <w:rPr>
                <w:rFonts w:hint="eastAsia" w:ascii="宋体" w:hAnsi="宋体"/>
                <w:szCs w:val="21"/>
              </w:rPr>
            </w:pPr>
            <w:r>
              <w:rPr>
                <w:rFonts w:hint="eastAsia" w:ascii="宋体" w:hAnsi="宋体"/>
                <w:szCs w:val="21"/>
              </w:rPr>
              <w:t>d.投标人对合同纠纷、事故处理办法未提出异议；</w:t>
            </w:r>
          </w:p>
          <w:p>
            <w:pPr>
              <w:tabs>
                <w:tab w:val="left" w:pos="3060"/>
              </w:tabs>
              <w:spacing w:line="320" w:lineRule="exact"/>
              <w:ind w:firstLine="210" w:firstLineChars="100"/>
              <w:rPr>
                <w:rFonts w:hint="eastAsia" w:ascii="宋体" w:hAnsi="宋体"/>
                <w:szCs w:val="21"/>
              </w:rPr>
            </w:pPr>
            <w:r>
              <w:rPr>
                <w:rFonts w:hint="eastAsia" w:ascii="宋体" w:hAnsi="宋体"/>
                <w:szCs w:val="21"/>
              </w:rPr>
              <w:t>e.投标人在投标活动中无欺诈行为；</w:t>
            </w:r>
          </w:p>
          <w:p>
            <w:pPr>
              <w:tabs>
                <w:tab w:val="left" w:pos="3060"/>
              </w:tabs>
              <w:spacing w:line="320" w:lineRule="exact"/>
              <w:ind w:firstLine="210" w:firstLineChars="100"/>
              <w:rPr>
                <w:rFonts w:hint="eastAsia" w:ascii="宋体" w:hAnsi="宋体"/>
                <w:szCs w:val="21"/>
              </w:rPr>
            </w:pPr>
            <w:r>
              <w:rPr>
                <w:rFonts w:hint="eastAsia" w:ascii="宋体" w:hAnsi="宋体"/>
                <w:szCs w:val="21"/>
              </w:rPr>
              <w:t>f.投标人未对合同条款有重要保留。</w:t>
            </w:r>
          </w:p>
          <w:p>
            <w:pPr>
              <w:tabs>
                <w:tab w:val="left" w:pos="3060"/>
              </w:tabs>
              <w:spacing w:line="320" w:lineRule="exact"/>
              <w:ind w:firstLine="210" w:firstLineChars="100"/>
              <w:rPr>
                <w:rFonts w:hint="eastAsia" w:ascii="宋体" w:hAnsi="宋体"/>
                <w:szCs w:val="21"/>
              </w:rPr>
            </w:pPr>
          </w:p>
          <w:p>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pPr>
              <w:tabs>
                <w:tab w:val="left" w:pos="3060"/>
              </w:tabs>
              <w:spacing w:line="320" w:lineRule="exact"/>
              <w:ind w:firstLine="105" w:firstLineChars="50"/>
              <w:rPr>
                <w:rFonts w:hint="eastAsia" w:ascii="宋体" w:hAnsi="宋体"/>
                <w:szCs w:val="21"/>
              </w:rPr>
            </w:pPr>
            <w:r>
              <w:rPr>
                <w:rFonts w:hint="eastAsia" w:ascii="宋体" w:hAnsi="宋体"/>
                <w:szCs w:val="21"/>
              </w:rPr>
              <w:t>（1）投标文件按照招标文件规定的格式、内容填写，字迹清晰可辨；</w:t>
            </w:r>
          </w:p>
          <w:p>
            <w:pPr>
              <w:tabs>
                <w:tab w:val="left" w:pos="3060"/>
              </w:tabs>
              <w:spacing w:line="320" w:lineRule="exact"/>
              <w:ind w:firstLine="420" w:firstLineChars="200"/>
              <w:rPr>
                <w:rFonts w:hint="eastAsia" w:ascii="宋体" w:hAnsi="宋体"/>
                <w:szCs w:val="21"/>
              </w:rPr>
            </w:pPr>
            <w:r>
              <w:rPr>
                <w:rFonts w:hint="eastAsia" w:ascii="宋体" w:hAnsi="宋体"/>
                <w:szCs w:val="21"/>
              </w:rPr>
              <w:t>a．投标函按照招标文件规定填报了项目名称、补遗书编号（如有）、投标价；</w:t>
            </w:r>
          </w:p>
          <w:p>
            <w:pPr>
              <w:tabs>
                <w:tab w:val="left" w:pos="3060"/>
              </w:tabs>
              <w:spacing w:line="320" w:lineRule="exact"/>
              <w:ind w:firstLine="420" w:firstLineChars="200"/>
              <w:rPr>
                <w:rFonts w:hint="eastAsia" w:ascii="宋体" w:hAnsi="宋体"/>
                <w:szCs w:val="21"/>
              </w:rPr>
            </w:pPr>
            <w:r>
              <w:rPr>
                <w:rFonts w:hint="eastAsia" w:ascii="宋体" w:hAnsi="宋体"/>
                <w:szCs w:val="21"/>
              </w:rPr>
              <w:t>b．已标价工程量清单说明文字与招标文件规定一致，未进行实质性修改和删减；</w:t>
            </w:r>
          </w:p>
          <w:p>
            <w:pPr>
              <w:tabs>
                <w:tab w:val="left" w:pos="3060"/>
              </w:tabs>
              <w:spacing w:line="320" w:lineRule="exact"/>
              <w:ind w:firstLine="420" w:firstLineChars="200"/>
              <w:rPr>
                <w:rFonts w:hint="eastAsia" w:ascii="宋体" w:hAnsi="宋体"/>
                <w:szCs w:val="21"/>
              </w:rPr>
            </w:pPr>
            <w:r>
              <w:rPr>
                <w:rFonts w:hint="eastAsia" w:ascii="宋体" w:hAnsi="宋体"/>
                <w:szCs w:val="21"/>
              </w:rPr>
              <w:t>c．投标文件组成齐全完整，内容均按规定填写。</w:t>
            </w:r>
          </w:p>
          <w:p>
            <w:pPr>
              <w:tabs>
                <w:tab w:val="left" w:pos="3060"/>
              </w:tabs>
              <w:spacing w:line="320" w:lineRule="exact"/>
              <w:ind w:firstLine="105" w:firstLineChars="50"/>
              <w:rPr>
                <w:rFonts w:hint="eastAsia" w:ascii="宋体" w:hAnsi="宋体"/>
                <w:szCs w:val="21"/>
              </w:rPr>
            </w:pPr>
            <w:r>
              <w:rPr>
                <w:rFonts w:hint="eastAsia" w:ascii="宋体" w:hAnsi="宋体"/>
                <w:szCs w:val="21"/>
              </w:rPr>
              <w:t>（2）投标文件上法定代表人或其委托代理人的签字、投标人的单位章盖章齐全，并符合招标文件规定。</w:t>
            </w:r>
          </w:p>
          <w:p>
            <w:pPr>
              <w:tabs>
                <w:tab w:val="left" w:pos="3060"/>
              </w:tabs>
              <w:spacing w:line="320" w:lineRule="exact"/>
              <w:ind w:firstLine="105" w:firstLineChars="50"/>
              <w:rPr>
                <w:rFonts w:hint="eastAsia" w:ascii="宋体" w:hAnsi="宋体"/>
                <w:szCs w:val="21"/>
              </w:rPr>
            </w:pPr>
            <w:r>
              <w:rPr>
                <w:rFonts w:hint="eastAsia" w:ascii="宋体" w:hAnsi="宋体"/>
                <w:szCs w:val="21"/>
              </w:rPr>
              <w:t>（3）投标报价中的报价未超过招标文件设定的最高投标限价。</w:t>
            </w:r>
          </w:p>
          <w:p>
            <w:pPr>
              <w:tabs>
                <w:tab w:val="left" w:pos="3060"/>
              </w:tabs>
              <w:spacing w:line="320" w:lineRule="exact"/>
              <w:ind w:firstLine="105" w:firstLineChars="50"/>
              <w:rPr>
                <w:rFonts w:hint="eastAsia" w:ascii="宋体" w:hAnsi="宋体"/>
                <w:szCs w:val="21"/>
              </w:rPr>
            </w:pPr>
            <w:r>
              <w:rPr>
                <w:rFonts w:hint="eastAsia" w:ascii="宋体" w:hAnsi="宋体"/>
                <w:szCs w:val="21"/>
              </w:rPr>
              <w:t>（4）投标报价中报价的大写金额能够确定具体数值。</w:t>
            </w:r>
          </w:p>
          <w:p>
            <w:pPr>
              <w:tabs>
                <w:tab w:val="left" w:pos="3060"/>
              </w:tabs>
              <w:spacing w:line="320" w:lineRule="exact"/>
              <w:ind w:firstLine="105" w:firstLineChars="50"/>
              <w:rPr>
                <w:rFonts w:hint="eastAsia" w:ascii="宋体" w:hAnsi="宋体"/>
                <w:szCs w:val="21"/>
              </w:rPr>
            </w:pPr>
            <w:r>
              <w:rPr>
                <w:rFonts w:hint="eastAsia" w:ascii="宋体" w:hAnsi="宋体"/>
                <w:szCs w:val="21"/>
              </w:rPr>
              <w:t>（5）同一投标人未提交两个以上不同的投标报价。</w:t>
            </w:r>
          </w:p>
          <w:p>
            <w:pPr>
              <w:tabs>
                <w:tab w:val="left" w:pos="3060"/>
              </w:tabs>
              <w:spacing w:line="320" w:lineRule="exact"/>
              <w:ind w:firstLine="105" w:firstLineChars="50"/>
              <w:rPr>
                <w:rFonts w:hint="eastAsia" w:ascii="宋体" w:hAnsi="宋体"/>
                <w:szCs w:val="21"/>
              </w:rPr>
            </w:pPr>
            <w:r>
              <w:rPr>
                <w:rFonts w:hint="eastAsia" w:ascii="宋体" w:hAnsi="宋体"/>
                <w:szCs w:val="21"/>
              </w:rPr>
              <w:t>（6）投标人按照招标人给定的工程量清单编制已标价工程量清单。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2.1.2</w:t>
            </w:r>
          </w:p>
        </w:tc>
        <w:tc>
          <w:tcPr>
            <w:tcW w:w="9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资格评审标准</w:t>
            </w:r>
          </w:p>
        </w:tc>
        <w:tc>
          <w:tcPr>
            <w:tcW w:w="7919" w:type="dxa"/>
            <w:tcBorders>
              <w:top w:val="single" w:color="auto" w:sz="4" w:space="0"/>
              <w:left w:val="single" w:color="auto" w:sz="4" w:space="0"/>
              <w:bottom w:val="single" w:color="auto" w:sz="4" w:space="0"/>
              <w:right w:val="single" w:color="auto" w:sz="4" w:space="0"/>
            </w:tcBorders>
          </w:tcPr>
          <w:p>
            <w:pPr>
              <w:tabs>
                <w:tab w:val="left" w:pos="3060"/>
              </w:tabs>
              <w:spacing w:line="320" w:lineRule="exact"/>
              <w:ind w:firstLine="210" w:firstLineChars="100"/>
              <w:rPr>
                <w:rFonts w:hint="eastAsia" w:ascii="宋体" w:hAnsi="宋体"/>
                <w:szCs w:val="21"/>
              </w:rPr>
            </w:pPr>
            <w:r>
              <w:rPr>
                <w:rFonts w:hint="eastAsia" w:ascii="宋体" w:hAnsi="宋体"/>
                <w:szCs w:val="21"/>
              </w:rPr>
              <w:t>（1）投标人具备有效的营业执照或法人证书、组织机构代码证（三证合一的不需要提供）、资质证书和基本存款账户的开户许可证或开户行出具的基本存款账户信息；</w:t>
            </w:r>
          </w:p>
          <w:p>
            <w:pPr>
              <w:tabs>
                <w:tab w:val="left" w:pos="3060"/>
              </w:tabs>
              <w:spacing w:line="320" w:lineRule="exact"/>
              <w:ind w:firstLine="210" w:firstLineChars="100"/>
              <w:rPr>
                <w:rFonts w:hint="eastAsia" w:ascii="宋体" w:hAnsi="宋体"/>
                <w:szCs w:val="21"/>
              </w:rPr>
            </w:pPr>
            <w:r>
              <w:rPr>
                <w:rFonts w:hint="eastAsia" w:ascii="宋体" w:hAnsi="宋体"/>
                <w:szCs w:val="21"/>
              </w:rPr>
              <w:t>（2）投标人的资质等级符合招标文件规定；</w:t>
            </w:r>
          </w:p>
          <w:p>
            <w:pPr>
              <w:tabs>
                <w:tab w:val="left" w:pos="3060"/>
              </w:tabs>
              <w:spacing w:line="320" w:lineRule="exact"/>
              <w:ind w:firstLine="210" w:firstLineChars="100"/>
              <w:rPr>
                <w:rFonts w:hint="eastAsia" w:ascii="宋体" w:hAnsi="宋体"/>
                <w:szCs w:val="21"/>
              </w:rPr>
            </w:pPr>
            <w:r>
              <w:rPr>
                <w:rFonts w:hint="eastAsia" w:ascii="宋体" w:hAnsi="宋体"/>
                <w:szCs w:val="21"/>
              </w:rPr>
              <w:t>（3）投标人的类似项目业绩符合招标文件规定；</w:t>
            </w:r>
          </w:p>
          <w:p>
            <w:pPr>
              <w:tabs>
                <w:tab w:val="left" w:pos="3060"/>
              </w:tabs>
              <w:spacing w:line="320" w:lineRule="exact"/>
              <w:ind w:firstLine="210" w:firstLineChars="100"/>
              <w:rPr>
                <w:rFonts w:hint="eastAsia" w:ascii="宋体" w:hAnsi="宋体"/>
                <w:szCs w:val="21"/>
              </w:rPr>
            </w:pPr>
            <w:r>
              <w:rPr>
                <w:rFonts w:hint="eastAsia" w:ascii="宋体" w:hAnsi="宋体"/>
                <w:szCs w:val="21"/>
              </w:rPr>
              <w:t>（4）投标人的信誉符合招标文件规定；</w:t>
            </w:r>
          </w:p>
          <w:p>
            <w:pPr>
              <w:tabs>
                <w:tab w:val="left" w:pos="3060"/>
              </w:tabs>
              <w:spacing w:line="320" w:lineRule="exact"/>
              <w:ind w:firstLine="210" w:firstLineChars="100"/>
              <w:rPr>
                <w:rFonts w:hint="eastAsia" w:ascii="宋体" w:hAnsi="宋体"/>
                <w:szCs w:val="21"/>
              </w:rPr>
            </w:pPr>
            <w:r>
              <w:rPr>
                <w:rFonts w:hint="eastAsia" w:ascii="宋体" w:hAnsi="宋体"/>
                <w:szCs w:val="21"/>
              </w:rPr>
              <w:t xml:space="preserve">（5）投标人的项目经理和项目总工资格、在岗情况符合招标文件规定； </w:t>
            </w:r>
          </w:p>
          <w:p>
            <w:pPr>
              <w:tabs>
                <w:tab w:val="left" w:pos="3060"/>
              </w:tabs>
              <w:spacing w:line="320" w:lineRule="exact"/>
              <w:ind w:firstLine="105" w:firstLineChars="50"/>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ind w:firstLine="210" w:firstLineChars="100"/>
              <w:rPr>
                <w:rFonts w:hint="eastAsia" w:ascii="宋体" w:hAnsi="宋体"/>
                <w:szCs w:val="21"/>
              </w:rPr>
            </w:pPr>
            <w:r>
              <w:rPr>
                <w:rFonts w:hint="eastAsia" w:ascii="宋体" w:hAnsi="宋体"/>
              </w:rPr>
              <w:t>（</w:t>
            </w:r>
            <w:r>
              <w:rPr>
                <w:rFonts w:ascii="宋体" w:hAnsi="宋体"/>
              </w:rPr>
              <w:t>7</w:t>
            </w:r>
            <w:r>
              <w:rPr>
                <w:rFonts w:hint="eastAsia" w:ascii="宋体" w:hAnsi="宋体"/>
              </w:rPr>
              <w:t xml:space="preserve">） </w:t>
            </w:r>
            <w:r>
              <w:rPr>
                <w:rFonts w:hint="eastAsia" w:ascii="宋体" w:hAnsi="宋体"/>
                <w:szCs w:val="21"/>
              </w:rPr>
              <w:t>投标人符合第二章“投标人须知”第1.4.5项规定。</w:t>
            </w:r>
          </w:p>
        </w:tc>
      </w:tr>
    </w:tbl>
    <w:p>
      <w:pPr>
        <w:rPr>
          <w:rFonts w:hint="eastAsia" w:ascii="宋体" w:hAnsi="宋体"/>
        </w:rPr>
      </w:pPr>
      <w:r>
        <w:rPr>
          <w:rFonts w:ascii="宋体" w:hAnsi="宋体"/>
        </w:rPr>
        <w:br w:type="page"/>
      </w:r>
    </w:p>
    <w:p>
      <w:pPr>
        <w:jc w:val="right"/>
        <w:rPr>
          <w:rFonts w:hint="eastAsia" w:ascii="宋体" w:hAnsi="宋体"/>
          <w:sz w:val="24"/>
        </w:rPr>
      </w:pPr>
      <w:r>
        <w:rPr>
          <w:rFonts w:hint="eastAsia" w:ascii="宋体" w:hAnsi="宋体"/>
          <w:sz w:val="24"/>
        </w:rPr>
        <w:t>续上表</w:t>
      </w:r>
    </w:p>
    <w:tbl>
      <w:tblPr>
        <w:tblStyle w:val="3"/>
        <w:tblW w:w="9443"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983"/>
        <w:gridCol w:w="1104"/>
        <w:gridCol w:w="763"/>
        <w:gridCol w:w="425"/>
        <w:gridCol w:w="1418"/>
        <w:gridCol w:w="852"/>
        <w:gridCol w:w="389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0" w:hRule="atLeast"/>
          <w:jc w:val="center"/>
        </w:trPr>
        <w:tc>
          <w:tcPr>
            <w:tcW w:w="983" w:type="dxa"/>
            <w:tcBorders>
              <w:top w:val="single" w:color="000000" w:sz="2" w:space="0"/>
              <w:left w:val="single" w:color="000000" w:sz="2" w:space="0"/>
              <w:bottom w:val="single" w:color="000000" w:sz="6" w:space="0"/>
            </w:tcBorders>
            <w:vAlign w:val="center"/>
          </w:tcPr>
          <w:p>
            <w:pPr>
              <w:spacing w:line="360" w:lineRule="exact"/>
              <w:jc w:val="center"/>
              <w:rPr>
                <w:rFonts w:hint="eastAsia" w:ascii="宋体" w:hAnsi="宋体"/>
                <w:b/>
                <w:szCs w:val="21"/>
              </w:rPr>
            </w:pPr>
            <w:r>
              <w:rPr>
                <w:rFonts w:hint="eastAsia" w:ascii="宋体" w:hAnsi="宋体"/>
                <w:b/>
                <w:szCs w:val="21"/>
              </w:rPr>
              <w:t>条款号</w:t>
            </w:r>
          </w:p>
        </w:tc>
        <w:tc>
          <w:tcPr>
            <w:tcW w:w="1867" w:type="dxa"/>
            <w:gridSpan w:val="2"/>
            <w:tcBorders>
              <w:top w:val="single" w:color="000000" w:sz="2" w:space="0"/>
              <w:bottom w:val="single" w:color="000000" w:sz="6" w:space="0"/>
            </w:tcBorders>
            <w:vAlign w:val="center"/>
          </w:tcPr>
          <w:p>
            <w:pPr>
              <w:spacing w:line="360" w:lineRule="exact"/>
              <w:jc w:val="center"/>
              <w:rPr>
                <w:rFonts w:hint="eastAsia" w:ascii="宋体" w:hAnsi="宋体"/>
                <w:b/>
                <w:szCs w:val="21"/>
              </w:rPr>
            </w:pPr>
            <w:r>
              <w:rPr>
                <w:rFonts w:hint="eastAsia" w:ascii="宋体" w:hAnsi="宋体"/>
                <w:b/>
                <w:szCs w:val="21"/>
              </w:rPr>
              <w:t>条款内容</w:t>
            </w:r>
          </w:p>
        </w:tc>
        <w:tc>
          <w:tcPr>
            <w:tcW w:w="6593" w:type="dxa"/>
            <w:gridSpan w:val="4"/>
            <w:tcBorders>
              <w:top w:val="single" w:color="000000" w:sz="2" w:space="0"/>
              <w:bottom w:val="single" w:color="000000" w:sz="6" w:space="0"/>
              <w:right w:val="single" w:color="000000" w:sz="2" w:space="0"/>
            </w:tcBorders>
            <w:vAlign w:val="center"/>
          </w:tcPr>
          <w:p>
            <w:pPr>
              <w:spacing w:line="360" w:lineRule="exact"/>
              <w:jc w:val="center"/>
              <w:rPr>
                <w:rFonts w:hint="eastAsia" w:ascii="宋体" w:hAnsi="宋体"/>
                <w:b/>
                <w:szCs w:val="21"/>
              </w:rPr>
            </w:pPr>
            <w:r>
              <w:rPr>
                <w:rFonts w:hint="eastAsia" w:ascii="宋体" w:hAnsi="宋体"/>
                <w:b/>
                <w:szCs w:val="21"/>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04" w:hRule="atLeast"/>
          <w:jc w:val="center"/>
        </w:trPr>
        <w:tc>
          <w:tcPr>
            <w:tcW w:w="983" w:type="dxa"/>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szCs w:val="21"/>
              </w:rPr>
            </w:pPr>
            <w:r>
              <w:rPr>
                <w:rFonts w:hint="eastAsia" w:ascii="宋体" w:hAnsi="宋体"/>
                <w:szCs w:val="21"/>
              </w:rPr>
              <w:t>2.2.1</w:t>
            </w:r>
          </w:p>
        </w:tc>
        <w:tc>
          <w:tcPr>
            <w:tcW w:w="1867" w:type="dxa"/>
            <w:gridSpan w:val="2"/>
            <w:tcBorders>
              <w:top w:val="single" w:color="000000" w:sz="6" w:space="0"/>
              <w:bottom w:val="single" w:color="000000" w:sz="6" w:space="0"/>
            </w:tcBorders>
            <w:vAlign w:val="center"/>
          </w:tcPr>
          <w:p>
            <w:pPr>
              <w:spacing w:line="360" w:lineRule="exact"/>
              <w:ind w:left="113" w:right="113"/>
              <w:jc w:val="center"/>
              <w:rPr>
                <w:rFonts w:hint="eastAsia" w:ascii="宋体" w:hAnsi="宋体"/>
                <w:szCs w:val="21"/>
              </w:rPr>
            </w:pPr>
            <w:r>
              <w:rPr>
                <w:rFonts w:ascii="宋体" w:hAnsi="宋体"/>
                <w:szCs w:val="21"/>
              </w:rPr>
              <w:t>第一个信封评分分值构</w:t>
            </w:r>
            <w:r>
              <w:rPr>
                <w:rFonts w:hint="eastAsia" w:ascii="宋体" w:hAnsi="宋体"/>
                <w:szCs w:val="21"/>
              </w:rPr>
              <w:t>成</w:t>
            </w:r>
          </w:p>
          <w:p>
            <w:pPr>
              <w:spacing w:line="360" w:lineRule="exact"/>
              <w:ind w:right="113"/>
              <w:jc w:val="center"/>
              <w:rPr>
                <w:rFonts w:ascii="宋体" w:hAnsi="宋体"/>
              </w:rPr>
            </w:pPr>
            <w:r>
              <w:rPr>
                <w:rFonts w:hint="eastAsia" w:ascii="宋体" w:hAnsi="宋体"/>
                <w:szCs w:val="21"/>
              </w:rPr>
              <w:t>(总分100分)</w:t>
            </w:r>
          </w:p>
        </w:tc>
        <w:tc>
          <w:tcPr>
            <w:tcW w:w="6593" w:type="dxa"/>
            <w:gridSpan w:val="4"/>
            <w:tcBorders>
              <w:top w:val="single" w:color="000000" w:sz="6" w:space="0"/>
              <w:bottom w:val="single" w:color="000000" w:sz="6" w:space="0"/>
              <w:right w:val="single" w:color="000000" w:sz="2" w:space="0"/>
            </w:tcBorders>
            <w:vAlign w:val="center"/>
          </w:tcPr>
          <w:p>
            <w:pPr>
              <w:spacing w:line="360" w:lineRule="exact"/>
              <w:ind w:right="113"/>
              <w:rPr>
                <w:rFonts w:hint="eastAsia" w:ascii="宋体" w:hAnsi="宋体"/>
              </w:rPr>
            </w:pPr>
            <w:r>
              <w:rPr>
                <w:rFonts w:ascii="宋体" w:hAnsi="宋体"/>
              </w:rPr>
              <w:t>施工</w:t>
            </w:r>
            <w:r>
              <w:rPr>
                <w:rFonts w:ascii="宋体" w:hAnsi="宋体"/>
                <w:spacing w:val="-3"/>
              </w:rPr>
              <w:t>组</w:t>
            </w:r>
            <w:r>
              <w:rPr>
                <w:rFonts w:ascii="宋体" w:hAnsi="宋体"/>
              </w:rPr>
              <w:t>织</w:t>
            </w:r>
            <w:r>
              <w:rPr>
                <w:rFonts w:ascii="宋体" w:hAnsi="宋体"/>
                <w:spacing w:val="-3"/>
              </w:rPr>
              <w:t>设</w:t>
            </w:r>
            <w:r>
              <w:rPr>
                <w:rFonts w:ascii="宋体" w:hAnsi="宋体"/>
              </w:rPr>
              <w:t>计</w:t>
            </w:r>
            <w:r>
              <w:rPr>
                <w:rFonts w:ascii="宋体" w:hAnsi="宋体"/>
                <w:spacing w:val="-3"/>
              </w:rPr>
              <w:t>：4</w:t>
            </w:r>
            <w:r>
              <w:rPr>
                <w:rFonts w:hint="eastAsia" w:ascii="宋体" w:hAnsi="宋体"/>
                <w:spacing w:val="-3"/>
              </w:rPr>
              <w:t>0</w:t>
            </w:r>
            <w:r>
              <w:rPr>
                <w:rFonts w:ascii="宋体" w:hAnsi="宋体"/>
              </w:rPr>
              <w:t>分</w:t>
            </w:r>
          </w:p>
          <w:p>
            <w:pPr>
              <w:spacing w:line="360" w:lineRule="exact"/>
              <w:ind w:right="113"/>
              <w:rPr>
                <w:rFonts w:hint="eastAsia" w:ascii="宋体" w:hAnsi="宋体"/>
              </w:rPr>
            </w:pPr>
            <w:r>
              <w:rPr>
                <w:rFonts w:ascii="宋体" w:hAnsi="宋体"/>
              </w:rPr>
              <w:t>主要</w:t>
            </w:r>
            <w:r>
              <w:rPr>
                <w:rFonts w:ascii="宋体" w:hAnsi="宋体"/>
                <w:spacing w:val="-3"/>
              </w:rPr>
              <w:t>人</w:t>
            </w:r>
            <w:r>
              <w:rPr>
                <w:rFonts w:ascii="宋体" w:hAnsi="宋体"/>
              </w:rPr>
              <w:t>员</w:t>
            </w:r>
            <w:r>
              <w:rPr>
                <w:rFonts w:ascii="宋体" w:hAnsi="宋体"/>
                <w:spacing w:val="-3"/>
              </w:rPr>
              <w:t>：20</w:t>
            </w:r>
            <w:r>
              <w:rPr>
                <w:rFonts w:hint="eastAsia" w:ascii="宋体" w:hAnsi="宋体"/>
                <w:spacing w:val="-3"/>
              </w:rPr>
              <w:t xml:space="preserve"> </w:t>
            </w:r>
            <w:r>
              <w:rPr>
                <w:rFonts w:ascii="宋体" w:hAnsi="宋体"/>
              </w:rPr>
              <w:t>分</w:t>
            </w:r>
          </w:p>
          <w:p>
            <w:pPr>
              <w:spacing w:line="360" w:lineRule="exact"/>
              <w:ind w:right="113"/>
              <w:rPr>
                <w:rFonts w:ascii="宋体" w:hAnsi="宋体"/>
              </w:rPr>
            </w:pPr>
            <w:r>
              <w:rPr>
                <w:rFonts w:hint="eastAsia" w:ascii="宋体" w:hAnsi="宋体"/>
              </w:rPr>
              <w:t>其他因素：/</w:t>
            </w:r>
          </w:p>
          <w:p>
            <w:pPr>
              <w:spacing w:line="360" w:lineRule="exact"/>
              <w:ind w:right="113"/>
              <w:rPr>
                <w:rFonts w:hint="eastAsia" w:ascii="宋体" w:hAnsi="宋体"/>
              </w:rPr>
            </w:pPr>
            <w:r>
              <w:rPr>
                <w:rFonts w:hint="eastAsia" w:ascii="宋体" w:hAnsi="宋体"/>
              </w:rPr>
              <w:t>企业业绩</w:t>
            </w:r>
            <w:r>
              <w:rPr>
                <w:rFonts w:ascii="宋体" w:hAnsi="宋体"/>
              </w:rPr>
              <w:t>：</w:t>
            </w:r>
            <w:r>
              <w:rPr>
                <w:rFonts w:hint="eastAsia" w:ascii="宋体" w:hAnsi="宋体"/>
              </w:rPr>
              <w:t xml:space="preserve">25分 </w:t>
            </w:r>
          </w:p>
          <w:p>
            <w:pPr>
              <w:spacing w:line="360" w:lineRule="exact"/>
              <w:ind w:right="113"/>
              <w:rPr>
                <w:rFonts w:hint="eastAsia" w:ascii="宋体" w:hAnsi="宋体"/>
              </w:rPr>
            </w:pPr>
            <w:r>
              <w:rPr>
                <w:rFonts w:hint="eastAsia" w:ascii="宋体" w:hAnsi="宋体" w:cs="宋体"/>
                <w:kern w:val="0"/>
                <w:szCs w:val="21"/>
                <w:lang w:val="zh-CN"/>
              </w:rPr>
              <w:t>履约信誉：1</w:t>
            </w:r>
            <w:r>
              <w:rPr>
                <w:rFonts w:hint="eastAsia" w:ascii="宋体" w:hAnsi="宋体" w:cs="宋体"/>
                <w:kern w:val="0"/>
                <w:szCs w:val="21"/>
              </w:rPr>
              <w:t>5</w:t>
            </w:r>
            <w:r>
              <w:rPr>
                <w:rFonts w:hint="eastAsia" w:ascii="宋体" w:hAnsi="宋体" w:cs="宋体"/>
                <w:kern w:val="0"/>
                <w:szCs w:val="21"/>
                <w:lang w:val="zh-CN"/>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12" w:hRule="atLeast"/>
          <w:jc w:val="center"/>
        </w:trPr>
        <w:tc>
          <w:tcPr>
            <w:tcW w:w="983" w:type="dxa"/>
            <w:tcBorders>
              <w:top w:val="single" w:color="000000" w:sz="6" w:space="0"/>
              <w:left w:val="single" w:color="000000" w:sz="2" w:space="0"/>
              <w:bottom w:val="single" w:color="000000" w:sz="6" w:space="0"/>
            </w:tcBorders>
            <w:vAlign w:val="center"/>
          </w:tcPr>
          <w:p>
            <w:pPr>
              <w:spacing w:line="360" w:lineRule="exact"/>
              <w:ind w:right="113"/>
              <w:jc w:val="center"/>
              <w:rPr>
                <w:rFonts w:ascii="宋体" w:hAnsi="宋体"/>
                <w:szCs w:val="21"/>
              </w:rPr>
            </w:pPr>
            <w:r>
              <w:rPr>
                <w:rFonts w:ascii="宋体" w:hAnsi="宋体"/>
                <w:szCs w:val="21"/>
              </w:rPr>
              <w:t>2.2.3</w:t>
            </w:r>
          </w:p>
        </w:tc>
        <w:tc>
          <w:tcPr>
            <w:tcW w:w="1867" w:type="dxa"/>
            <w:gridSpan w:val="2"/>
            <w:tcBorders>
              <w:top w:val="single" w:color="000000" w:sz="6" w:space="0"/>
              <w:bottom w:val="single" w:color="000000" w:sz="6" w:space="0"/>
            </w:tcBorders>
            <w:vAlign w:val="center"/>
          </w:tcPr>
          <w:p>
            <w:pPr>
              <w:pStyle w:val="5"/>
              <w:spacing w:line="360" w:lineRule="exact"/>
              <w:ind w:left="112" w:right="99"/>
              <w:jc w:val="center"/>
              <w:rPr>
                <w:sz w:val="21"/>
              </w:rPr>
            </w:pPr>
            <w:r>
              <w:rPr>
                <w:sz w:val="21"/>
              </w:rPr>
              <w:t>第二个信封详细评审标准</w:t>
            </w:r>
          </w:p>
        </w:tc>
        <w:tc>
          <w:tcPr>
            <w:tcW w:w="6593" w:type="dxa"/>
            <w:gridSpan w:val="4"/>
            <w:tcBorders>
              <w:top w:val="single" w:color="000000" w:sz="6" w:space="0"/>
              <w:bottom w:val="single" w:color="000000" w:sz="6" w:space="0"/>
              <w:right w:val="single" w:color="000000" w:sz="2" w:space="0"/>
            </w:tcBorders>
            <w:vAlign w:val="center"/>
          </w:tcPr>
          <w:p>
            <w:pPr>
              <w:pStyle w:val="5"/>
              <w:spacing w:before="89" w:line="360" w:lineRule="exact"/>
              <w:ind w:left="104"/>
              <w:rPr>
                <w:sz w:val="21"/>
              </w:rPr>
            </w:pPr>
            <w:r>
              <w:rPr>
                <w:sz w:val="21"/>
              </w:rPr>
              <w:t>评标价计算公式：</w:t>
            </w:r>
          </w:p>
          <w:p>
            <w:pPr>
              <w:pStyle w:val="5"/>
              <w:spacing w:before="91" w:line="360" w:lineRule="exact"/>
              <w:ind w:left="104" w:right="96" w:firstLine="420"/>
              <w:rPr>
                <w:sz w:val="21"/>
              </w:rPr>
            </w:pPr>
            <w:r>
              <w:rPr>
                <w:sz w:val="21"/>
              </w:rPr>
              <w:t>评标价</w:t>
            </w:r>
            <w:r>
              <w:rPr>
                <w:rFonts w:hint="eastAsia"/>
                <w:sz w:val="21"/>
              </w:rPr>
              <w:t>=</w:t>
            </w:r>
            <w:r>
              <w:rPr>
                <w:sz w:val="21"/>
              </w:rPr>
              <w:t>投标函文字报价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88" w:hRule="atLeast"/>
          <w:jc w:val="center"/>
        </w:trPr>
        <w:tc>
          <w:tcPr>
            <w:tcW w:w="983" w:type="dxa"/>
            <w:tcBorders>
              <w:top w:val="single" w:color="000000" w:sz="6" w:space="0"/>
              <w:left w:val="single" w:color="000000" w:sz="2" w:space="0"/>
              <w:bottom w:val="single" w:color="000000" w:sz="6" w:space="0"/>
            </w:tcBorders>
            <w:vAlign w:val="center"/>
          </w:tcPr>
          <w:p>
            <w:pPr>
              <w:spacing w:line="360" w:lineRule="exact"/>
              <w:ind w:right="113"/>
              <w:jc w:val="center"/>
              <w:rPr>
                <w:rFonts w:ascii="宋体" w:hAnsi="宋体"/>
                <w:szCs w:val="21"/>
              </w:rPr>
            </w:pPr>
            <w:r>
              <w:rPr>
                <w:rFonts w:hint="eastAsia" w:ascii="宋体" w:hAnsi="宋体"/>
                <w:szCs w:val="21"/>
              </w:rPr>
              <w:t>3.2.4</w:t>
            </w:r>
          </w:p>
        </w:tc>
        <w:tc>
          <w:tcPr>
            <w:tcW w:w="1867" w:type="dxa"/>
            <w:gridSpan w:val="2"/>
            <w:tcBorders>
              <w:top w:val="single" w:color="000000" w:sz="6" w:space="0"/>
              <w:bottom w:val="single" w:color="000000" w:sz="6" w:space="0"/>
            </w:tcBorders>
            <w:vAlign w:val="center"/>
          </w:tcPr>
          <w:p>
            <w:pPr>
              <w:pStyle w:val="5"/>
              <w:spacing w:before="1" w:line="360" w:lineRule="exact"/>
              <w:jc w:val="center"/>
              <w:rPr>
                <w:rFonts w:hint="eastAsia"/>
                <w:sz w:val="21"/>
              </w:rPr>
            </w:pPr>
            <w:r>
              <w:rPr>
                <w:sz w:val="21"/>
              </w:rPr>
              <w:t>通过第一个信封</w:t>
            </w:r>
          </w:p>
          <w:p>
            <w:pPr>
              <w:pStyle w:val="5"/>
              <w:spacing w:before="1" w:line="360" w:lineRule="exact"/>
              <w:jc w:val="center"/>
              <w:rPr>
                <w:sz w:val="20"/>
              </w:rPr>
            </w:pPr>
            <w:r>
              <w:rPr>
                <w:sz w:val="21"/>
              </w:rPr>
              <w:t>详细评审的投标人数量</w:t>
            </w:r>
          </w:p>
        </w:tc>
        <w:tc>
          <w:tcPr>
            <w:tcW w:w="6593" w:type="dxa"/>
            <w:gridSpan w:val="4"/>
            <w:tcBorders>
              <w:top w:val="single" w:color="000000" w:sz="6" w:space="0"/>
              <w:bottom w:val="single" w:color="000000" w:sz="6" w:space="0"/>
              <w:right w:val="single" w:color="000000" w:sz="2" w:space="0"/>
            </w:tcBorders>
            <w:vAlign w:val="center"/>
          </w:tcPr>
          <w:p>
            <w:pPr>
              <w:pStyle w:val="5"/>
              <w:spacing w:before="89" w:line="360" w:lineRule="exact"/>
              <w:ind w:left="104"/>
              <w:rPr>
                <w:sz w:val="21"/>
              </w:rPr>
            </w:pPr>
            <w:r>
              <w:rPr>
                <w:sz w:val="21"/>
              </w:rPr>
              <w:t>按照投标人的商务和技术得分由高到低排序，选择</w:t>
            </w:r>
            <w:r>
              <w:rPr>
                <w:spacing w:val="2"/>
                <w:sz w:val="21"/>
              </w:rPr>
              <w:t>前</w:t>
            </w:r>
            <w:r>
              <w:rPr>
                <w:spacing w:val="2"/>
                <w:sz w:val="21"/>
                <w:u w:val="single"/>
              </w:rPr>
              <w:t xml:space="preserve"> </w:t>
            </w:r>
            <w:r>
              <w:rPr>
                <w:rFonts w:hint="eastAsia"/>
                <w:spacing w:val="2"/>
                <w:sz w:val="21"/>
                <w:u w:val="single"/>
              </w:rPr>
              <w:t xml:space="preserve">3 </w:t>
            </w:r>
            <w:r>
              <w:rPr>
                <w:spacing w:val="2"/>
                <w:sz w:val="21"/>
              </w:rPr>
              <w:t>名</w:t>
            </w:r>
            <w:r>
              <w:rPr>
                <w:sz w:val="21"/>
              </w:rPr>
              <w:t>通过详</w:t>
            </w:r>
            <w:r>
              <w:rPr>
                <w:spacing w:val="-3"/>
                <w:sz w:val="21"/>
              </w:rPr>
              <w:t>细</w:t>
            </w:r>
            <w:r>
              <w:rPr>
                <w:sz w:val="21"/>
              </w:rPr>
              <w:t>评审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46" w:hRule="atLeast"/>
          <w:jc w:val="center"/>
        </w:trPr>
        <w:tc>
          <w:tcPr>
            <w:tcW w:w="5545" w:type="dxa"/>
            <w:gridSpan w:val="6"/>
            <w:tcBorders>
              <w:top w:val="single" w:color="000000" w:sz="6" w:space="0"/>
              <w:left w:val="single" w:color="000000" w:sz="2" w:space="0"/>
              <w:bottom w:val="single" w:color="000000" w:sz="6" w:space="0"/>
              <w:right w:val="single" w:color="auto" w:sz="4" w:space="0"/>
            </w:tcBorders>
            <w:vAlign w:val="center"/>
          </w:tcPr>
          <w:p>
            <w:pPr>
              <w:pStyle w:val="5"/>
              <w:spacing w:before="89" w:line="360" w:lineRule="exact"/>
              <w:ind w:left="104"/>
              <w:jc w:val="center"/>
              <w:rPr>
                <w:sz w:val="21"/>
              </w:rPr>
            </w:pPr>
            <w:r>
              <w:rPr>
                <w:b/>
                <w:sz w:val="21"/>
              </w:rPr>
              <w:t>评分因素与权重分值</w:t>
            </w:r>
          </w:p>
        </w:tc>
        <w:tc>
          <w:tcPr>
            <w:tcW w:w="3898" w:type="dxa"/>
            <w:vMerge w:val="restart"/>
            <w:tcBorders>
              <w:top w:val="single" w:color="000000" w:sz="6" w:space="0"/>
              <w:left w:val="single" w:color="auto" w:sz="4" w:space="0"/>
              <w:bottom w:val="single" w:color="000000" w:sz="6" w:space="0"/>
              <w:right w:val="single" w:color="000000" w:sz="2" w:space="0"/>
            </w:tcBorders>
            <w:vAlign w:val="center"/>
          </w:tcPr>
          <w:p>
            <w:pPr>
              <w:pStyle w:val="5"/>
              <w:spacing w:before="89" w:line="360" w:lineRule="exact"/>
              <w:jc w:val="center"/>
              <w:rPr>
                <w:sz w:val="21"/>
              </w:rPr>
            </w:pPr>
            <w:r>
              <w:rPr>
                <w:b/>
                <w:sz w:val="21"/>
              </w:rPr>
              <w:t>评分标准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983" w:type="dxa"/>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r>
              <w:rPr>
                <w:rFonts w:hint="eastAsia" w:ascii="宋体" w:hAnsi="宋体"/>
                <w:b/>
                <w:szCs w:val="21"/>
              </w:rPr>
              <w:t>条款号</w:t>
            </w:r>
          </w:p>
        </w:tc>
        <w:tc>
          <w:tcPr>
            <w:tcW w:w="1104" w:type="dxa"/>
            <w:tcBorders>
              <w:top w:val="single" w:color="000000" w:sz="6" w:space="0"/>
              <w:bottom w:val="single" w:color="000000" w:sz="6" w:space="0"/>
              <w:right w:val="single" w:color="auto" w:sz="4" w:space="0"/>
            </w:tcBorders>
            <w:vAlign w:val="center"/>
          </w:tcPr>
          <w:p>
            <w:pPr>
              <w:pStyle w:val="5"/>
              <w:spacing w:before="41" w:line="360" w:lineRule="exact"/>
              <w:ind w:left="93" w:right="83"/>
              <w:jc w:val="center"/>
              <w:rPr>
                <w:rFonts w:cs="Times New Roman"/>
                <w:b/>
                <w:kern w:val="2"/>
                <w:sz w:val="21"/>
                <w:szCs w:val="21"/>
                <w:lang w:val="en-US" w:bidi="ar-SA"/>
              </w:rPr>
            </w:pPr>
            <w:r>
              <w:rPr>
                <w:rFonts w:hint="eastAsia" w:cs="Times New Roman"/>
                <w:b/>
                <w:kern w:val="2"/>
                <w:sz w:val="21"/>
                <w:szCs w:val="21"/>
                <w:lang w:val="en-US" w:bidi="ar-SA"/>
              </w:rPr>
              <w:t>评分因素</w:t>
            </w:r>
          </w:p>
        </w:tc>
        <w:tc>
          <w:tcPr>
            <w:tcW w:w="1188" w:type="dxa"/>
            <w:gridSpan w:val="2"/>
            <w:tcBorders>
              <w:top w:val="single" w:color="000000" w:sz="6" w:space="0"/>
              <w:left w:val="single" w:color="auto" w:sz="4" w:space="0"/>
              <w:bottom w:val="single" w:color="000000" w:sz="6" w:space="0"/>
            </w:tcBorders>
            <w:vAlign w:val="center"/>
          </w:tcPr>
          <w:p>
            <w:pPr>
              <w:pStyle w:val="5"/>
              <w:spacing w:before="41" w:line="360" w:lineRule="exact"/>
              <w:ind w:left="93" w:right="83"/>
              <w:jc w:val="center"/>
              <w:rPr>
                <w:rFonts w:cs="Times New Roman"/>
                <w:b/>
                <w:kern w:val="2"/>
                <w:sz w:val="21"/>
                <w:szCs w:val="21"/>
                <w:lang w:val="en-US" w:bidi="ar-SA"/>
              </w:rPr>
            </w:pPr>
            <w:r>
              <w:rPr>
                <w:rFonts w:cs="Times New Roman"/>
                <w:b/>
                <w:kern w:val="2"/>
                <w:sz w:val="21"/>
                <w:szCs w:val="21"/>
                <w:lang w:val="en-US" w:bidi="ar-SA"/>
              </w:rPr>
              <w:t>评分因素权重分值</w:t>
            </w:r>
          </w:p>
        </w:tc>
        <w:tc>
          <w:tcPr>
            <w:tcW w:w="1418" w:type="dxa"/>
            <w:tcBorders>
              <w:top w:val="single" w:color="000000" w:sz="6" w:space="0"/>
              <w:bottom w:val="single" w:color="000000" w:sz="6" w:space="0"/>
              <w:right w:val="single" w:color="auto" w:sz="4" w:space="0"/>
            </w:tcBorders>
            <w:vAlign w:val="center"/>
          </w:tcPr>
          <w:p>
            <w:pPr>
              <w:pStyle w:val="5"/>
              <w:spacing w:before="41" w:line="360" w:lineRule="exact"/>
              <w:ind w:left="93" w:right="83"/>
              <w:jc w:val="center"/>
              <w:rPr>
                <w:rFonts w:cs="Times New Roman"/>
                <w:b/>
                <w:kern w:val="2"/>
                <w:sz w:val="21"/>
                <w:szCs w:val="21"/>
                <w:lang w:val="en-US" w:bidi="ar-SA"/>
              </w:rPr>
            </w:pPr>
            <w:r>
              <w:rPr>
                <w:rFonts w:cs="Times New Roman"/>
                <w:b/>
                <w:kern w:val="2"/>
                <w:sz w:val="21"/>
                <w:szCs w:val="21"/>
                <w:lang w:val="en-US" w:bidi="ar-SA"/>
              </w:rPr>
              <w:t>各评分因素细分项</w:t>
            </w:r>
          </w:p>
        </w:tc>
        <w:tc>
          <w:tcPr>
            <w:tcW w:w="852" w:type="dxa"/>
            <w:tcBorders>
              <w:top w:val="single" w:color="000000" w:sz="6" w:space="0"/>
              <w:left w:val="single" w:color="auto" w:sz="4" w:space="0"/>
              <w:bottom w:val="single" w:color="000000" w:sz="6" w:space="0"/>
              <w:right w:val="single" w:color="auto" w:sz="4" w:space="0"/>
            </w:tcBorders>
            <w:vAlign w:val="center"/>
          </w:tcPr>
          <w:p>
            <w:pPr>
              <w:pStyle w:val="5"/>
              <w:spacing w:before="1" w:line="360" w:lineRule="exact"/>
              <w:jc w:val="center"/>
              <w:rPr>
                <w:rFonts w:cs="Times New Roman"/>
                <w:b/>
                <w:kern w:val="2"/>
                <w:sz w:val="21"/>
                <w:szCs w:val="21"/>
                <w:lang w:val="en-US" w:bidi="ar-SA"/>
              </w:rPr>
            </w:pPr>
            <w:r>
              <w:rPr>
                <w:rFonts w:hint="eastAsia" w:cs="Times New Roman"/>
                <w:b/>
                <w:kern w:val="2"/>
                <w:sz w:val="21"/>
                <w:szCs w:val="21"/>
                <w:lang w:val="en-US" w:bidi="ar-SA"/>
              </w:rPr>
              <w:t>分值</w:t>
            </w:r>
          </w:p>
        </w:tc>
        <w:tc>
          <w:tcPr>
            <w:tcW w:w="3898" w:type="dxa"/>
            <w:vMerge w:val="continue"/>
            <w:tcBorders>
              <w:top w:val="single" w:color="000000" w:sz="6" w:space="0"/>
              <w:left w:val="single" w:color="auto" w:sz="4" w:space="0"/>
              <w:bottom w:val="single" w:color="000000" w:sz="6" w:space="0"/>
              <w:right w:val="single" w:color="000000" w:sz="2" w:space="0"/>
            </w:tcBorders>
            <w:vAlign w:val="center"/>
          </w:tcPr>
          <w:p>
            <w:pPr>
              <w:spacing w:line="360" w:lineRule="exact"/>
              <w:ind w:right="113"/>
              <w:jc w:val="center"/>
              <w:rPr>
                <w:rFonts w:hint="eastAsia" w:ascii="宋体" w:hAnsi="宋体"/>
                <w:b/>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restart"/>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r>
              <w:rPr>
                <w:rFonts w:hint="eastAsia" w:ascii="宋体" w:hAnsi="宋体"/>
                <w:b/>
                <w:szCs w:val="21"/>
              </w:rPr>
              <w:t>2.2.2(1)</w:t>
            </w:r>
          </w:p>
        </w:tc>
        <w:tc>
          <w:tcPr>
            <w:tcW w:w="1104" w:type="dxa"/>
            <w:vMerge w:val="restart"/>
            <w:tcBorders>
              <w:top w:val="single" w:color="000000" w:sz="6" w:space="0"/>
              <w:bottom w:val="single" w:color="000000" w:sz="6" w:space="0"/>
              <w:right w:val="single" w:color="auto" w:sz="4" w:space="0"/>
            </w:tcBorders>
            <w:vAlign w:val="center"/>
          </w:tcPr>
          <w:p>
            <w:pPr>
              <w:pStyle w:val="5"/>
              <w:spacing w:before="42" w:line="360" w:lineRule="exact"/>
              <w:ind w:right="99"/>
              <w:jc w:val="center"/>
              <w:rPr>
                <w:sz w:val="21"/>
                <w:szCs w:val="21"/>
              </w:rPr>
            </w:pPr>
            <w:r>
              <w:rPr>
                <w:rFonts w:hint="eastAsia"/>
                <w:sz w:val="21"/>
                <w:szCs w:val="21"/>
              </w:rPr>
              <w:t>施工组织设计</w:t>
            </w:r>
          </w:p>
        </w:tc>
        <w:tc>
          <w:tcPr>
            <w:tcW w:w="1188" w:type="dxa"/>
            <w:gridSpan w:val="2"/>
            <w:vMerge w:val="restart"/>
            <w:tcBorders>
              <w:top w:val="single" w:color="000000" w:sz="6" w:space="0"/>
              <w:left w:val="single" w:color="auto" w:sz="4" w:space="0"/>
              <w:bottom w:val="single" w:color="000000" w:sz="6" w:space="0"/>
            </w:tcBorders>
            <w:vAlign w:val="center"/>
          </w:tcPr>
          <w:p>
            <w:pPr>
              <w:pStyle w:val="5"/>
              <w:spacing w:before="42" w:line="360" w:lineRule="exact"/>
              <w:ind w:right="99"/>
              <w:jc w:val="center"/>
              <w:rPr>
                <w:sz w:val="21"/>
                <w:szCs w:val="21"/>
              </w:rPr>
            </w:pPr>
            <w:r>
              <w:rPr>
                <w:rFonts w:hint="eastAsia"/>
                <w:sz w:val="21"/>
                <w:szCs w:val="21"/>
              </w:rPr>
              <w:t>40分</w:t>
            </w:r>
          </w:p>
        </w:tc>
        <w:tc>
          <w:tcPr>
            <w:tcW w:w="1418" w:type="dxa"/>
            <w:vMerge w:val="restart"/>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施工组织布置及规划</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3.6</w:t>
            </w:r>
            <w:r>
              <w:rPr>
                <w:sz w:val="21"/>
                <w:szCs w:val="21"/>
              </w:rPr>
              <w:t>-</w:t>
            </w:r>
            <w:r>
              <w:rPr>
                <w:rFonts w:hint="eastAsia"/>
                <w:sz w:val="21"/>
                <w:szCs w:val="21"/>
              </w:rPr>
              <w:t>6</w:t>
            </w: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内容较具体、较齐全，规划较合理，得3.6-4.8分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continue"/>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p>
        </w:tc>
        <w:tc>
          <w:tcPr>
            <w:tcW w:w="852" w:type="dxa"/>
            <w:vMerge w:val="continue"/>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内容齐全，规划合理，得4.8－6分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restart"/>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施工方案</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rFonts w:hint="eastAsia"/>
                <w:sz w:val="21"/>
                <w:szCs w:val="21"/>
              </w:rPr>
            </w:pPr>
            <w:r>
              <w:rPr>
                <w:sz w:val="21"/>
                <w:szCs w:val="21"/>
              </w:rPr>
              <w:t>6-10</w:t>
            </w: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方案较具体、较齐全、较合理，得6.0-8.0分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continue"/>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p>
        </w:tc>
        <w:tc>
          <w:tcPr>
            <w:tcW w:w="852" w:type="dxa"/>
            <w:vMerge w:val="continue"/>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方案具体、齐全，可操作性强，配备合理，得8.0－10分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restart"/>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cs="Courier New"/>
                <w:sz w:val="21"/>
                <w:szCs w:val="21"/>
              </w:rPr>
              <w:t>工期保证体系及保证措施</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3.6</w:t>
            </w:r>
            <w:r>
              <w:rPr>
                <w:sz w:val="21"/>
                <w:szCs w:val="21"/>
              </w:rPr>
              <w:t>-</w:t>
            </w:r>
            <w:r>
              <w:rPr>
                <w:rFonts w:hint="eastAsia"/>
                <w:sz w:val="21"/>
                <w:szCs w:val="21"/>
              </w:rPr>
              <w:t>6</w:t>
            </w: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措施较具体、较齐全、较合理，得3.6-4.8分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continue"/>
            <w:tcBorders>
              <w:top w:val="single" w:color="000000" w:sz="6" w:space="0"/>
              <w:bottom w:val="single" w:color="000000" w:sz="6" w:space="0"/>
              <w:right w:val="single" w:color="auto" w:sz="4" w:space="0"/>
            </w:tcBorders>
            <w:vAlign w:val="center"/>
          </w:tcPr>
          <w:p>
            <w:pPr>
              <w:pStyle w:val="5"/>
              <w:spacing w:line="360" w:lineRule="exact"/>
              <w:jc w:val="center"/>
              <w:rPr>
                <w:rFonts w:hint="eastAsia" w:cs="Courier New"/>
                <w:sz w:val="21"/>
                <w:szCs w:val="21"/>
              </w:rPr>
            </w:pPr>
          </w:p>
        </w:tc>
        <w:tc>
          <w:tcPr>
            <w:tcW w:w="852" w:type="dxa"/>
            <w:vMerge w:val="continue"/>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措施具体、齐全、合理，得4.8－6分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restart"/>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工程质量管理体系及保证措施</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3.6</w:t>
            </w:r>
            <w:r>
              <w:rPr>
                <w:sz w:val="21"/>
                <w:szCs w:val="21"/>
              </w:rPr>
              <w:t>-</w:t>
            </w:r>
            <w:r>
              <w:rPr>
                <w:rFonts w:hint="eastAsia"/>
                <w:sz w:val="21"/>
                <w:szCs w:val="21"/>
              </w:rPr>
              <w:t>6</w:t>
            </w: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措施较具体、较齐全、较合理，得3.6-4.8分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continue"/>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p>
        </w:tc>
        <w:tc>
          <w:tcPr>
            <w:tcW w:w="852" w:type="dxa"/>
            <w:vMerge w:val="continue"/>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措施具体、齐全、合理，得4.8－6分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restart"/>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安全生产保证措施及事故应急预案</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3.6</w:t>
            </w:r>
            <w:r>
              <w:rPr>
                <w:sz w:val="21"/>
                <w:szCs w:val="21"/>
              </w:rPr>
              <w:t>-</w:t>
            </w:r>
            <w:r>
              <w:rPr>
                <w:rFonts w:hint="eastAsia"/>
                <w:sz w:val="21"/>
                <w:szCs w:val="21"/>
              </w:rPr>
              <w:t>6</w:t>
            </w: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措施较具体、较齐全、较合理，得3.6-4.8分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continue"/>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p>
        </w:tc>
        <w:tc>
          <w:tcPr>
            <w:tcW w:w="852" w:type="dxa"/>
            <w:vMerge w:val="continue"/>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措施具体、齐全、合理，得4.8－6分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restart"/>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r>
              <w:rPr>
                <w:sz w:val="21"/>
                <w:szCs w:val="21"/>
              </w:rPr>
              <w:t>环境保护</w:t>
            </w:r>
            <w:r>
              <w:rPr>
                <w:rFonts w:hint="eastAsia"/>
                <w:sz w:val="21"/>
                <w:szCs w:val="21"/>
              </w:rPr>
              <w:t>、</w:t>
            </w:r>
            <w:r>
              <w:rPr>
                <w:sz w:val="21"/>
                <w:szCs w:val="21"/>
              </w:rPr>
              <w:t>文明施工保证措施</w:t>
            </w:r>
          </w:p>
        </w:tc>
        <w:tc>
          <w:tcPr>
            <w:tcW w:w="852" w:type="dxa"/>
            <w:vMerge w:val="restart"/>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3.6</w:t>
            </w:r>
            <w:r>
              <w:rPr>
                <w:sz w:val="21"/>
                <w:szCs w:val="21"/>
              </w:rPr>
              <w:t>-</w:t>
            </w:r>
            <w:r>
              <w:rPr>
                <w:rFonts w:hint="eastAsia"/>
                <w:sz w:val="21"/>
                <w:szCs w:val="21"/>
              </w:rPr>
              <w:t>6</w:t>
            </w: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内容较具体、较齐全，操作性较强，得3.6-4.8分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rFonts w:hint="eastAsia"/>
                <w:sz w:val="21"/>
                <w:szCs w:val="21"/>
              </w:rPr>
            </w:pPr>
          </w:p>
        </w:tc>
        <w:tc>
          <w:tcPr>
            <w:tcW w:w="1418" w:type="dxa"/>
            <w:vMerge w:val="continue"/>
            <w:tcBorders>
              <w:top w:val="single" w:color="000000" w:sz="6" w:space="0"/>
              <w:bottom w:val="single" w:color="000000" w:sz="6" w:space="0"/>
              <w:right w:val="single" w:color="auto" w:sz="4" w:space="0"/>
            </w:tcBorders>
            <w:vAlign w:val="center"/>
          </w:tcPr>
          <w:p>
            <w:pPr>
              <w:pStyle w:val="5"/>
              <w:spacing w:line="360" w:lineRule="exact"/>
              <w:jc w:val="center"/>
              <w:rPr>
                <w:rFonts w:hint="eastAsia"/>
                <w:sz w:val="21"/>
                <w:szCs w:val="21"/>
              </w:rPr>
            </w:pPr>
          </w:p>
        </w:tc>
        <w:tc>
          <w:tcPr>
            <w:tcW w:w="852" w:type="dxa"/>
            <w:vMerge w:val="continue"/>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sz w:val="21"/>
                <w:szCs w:val="21"/>
              </w:rPr>
            </w:pPr>
          </w:p>
        </w:tc>
        <w:tc>
          <w:tcPr>
            <w:tcW w:w="3898" w:type="dxa"/>
            <w:tcBorders>
              <w:top w:val="single" w:color="000000" w:sz="6" w:space="0"/>
              <w:left w:val="single" w:color="auto" w:sz="4" w:space="0"/>
              <w:bottom w:val="single" w:color="000000" w:sz="6" w:space="0"/>
              <w:right w:val="single" w:color="000000" w:sz="2" w:space="0"/>
            </w:tcBorders>
            <w:vAlign w:val="center"/>
          </w:tcPr>
          <w:p>
            <w:pPr>
              <w:adjustRightInd w:val="0"/>
              <w:snapToGrid w:val="0"/>
              <w:spacing w:line="300" w:lineRule="exact"/>
              <w:jc w:val="left"/>
              <w:rPr>
                <w:rFonts w:ascii="宋体" w:hAnsi="宋体"/>
                <w:szCs w:val="21"/>
              </w:rPr>
            </w:pPr>
            <w:r>
              <w:rPr>
                <w:rFonts w:hint="eastAsia" w:ascii="宋体" w:hAnsi="宋体"/>
                <w:szCs w:val="21"/>
              </w:rPr>
              <w:t>内容齐全，规划合理，操作性强，得4.8－</w:t>
            </w:r>
            <w:r>
              <w:rPr>
                <w:rFonts w:ascii="宋体" w:hAnsi="宋体"/>
                <w:szCs w:val="21"/>
              </w:rPr>
              <w:t>6</w:t>
            </w:r>
            <w:r>
              <w:rPr>
                <w:rFonts w:hint="eastAsia" w:ascii="宋体" w:hAnsi="宋体"/>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3" w:hRule="atLeast"/>
          <w:jc w:val="center"/>
        </w:trPr>
        <w:tc>
          <w:tcPr>
            <w:tcW w:w="983" w:type="dxa"/>
            <w:vMerge w:val="restart"/>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r>
              <w:rPr>
                <w:rFonts w:hint="eastAsia" w:ascii="宋体" w:hAnsi="宋体"/>
                <w:b/>
                <w:szCs w:val="21"/>
              </w:rPr>
              <w:t>2.2.2(2)</w:t>
            </w:r>
          </w:p>
        </w:tc>
        <w:tc>
          <w:tcPr>
            <w:tcW w:w="1104" w:type="dxa"/>
            <w:vMerge w:val="restart"/>
            <w:tcBorders>
              <w:top w:val="single" w:color="000000" w:sz="6" w:space="0"/>
              <w:bottom w:val="single" w:color="000000" w:sz="6" w:space="0"/>
              <w:right w:val="single" w:color="auto" w:sz="4" w:space="0"/>
            </w:tcBorders>
            <w:vAlign w:val="center"/>
          </w:tcPr>
          <w:p>
            <w:pPr>
              <w:pStyle w:val="5"/>
              <w:spacing w:before="42" w:line="360" w:lineRule="exact"/>
              <w:ind w:right="99"/>
              <w:jc w:val="center"/>
              <w:rPr>
                <w:sz w:val="21"/>
                <w:szCs w:val="21"/>
              </w:rPr>
            </w:pPr>
            <w:r>
              <w:rPr>
                <w:rFonts w:hint="eastAsia"/>
                <w:sz w:val="21"/>
                <w:szCs w:val="21"/>
              </w:rPr>
              <w:t>主要人员</w:t>
            </w:r>
          </w:p>
        </w:tc>
        <w:tc>
          <w:tcPr>
            <w:tcW w:w="1188" w:type="dxa"/>
            <w:gridSpan w:val="2"/>
            <w:vMerge w:val="restart"/>
            <w:tcBorders>
              <w:top w:val="single" w:color="000000" w:sz="6" w:space="0"/>
              <w:left w:val="single" w:color="auto" w:sz="4" w:space="0"/>
              <w:bottom w:val="single" w:color="000000" w:sz="6" w:space="0"/>
            </w:tcBorders>
            <w:vAlign w:val="center"/>
          </w:tcPr>
          <w:p>
            <w:pPr>
              <w:pStyle w:val="5"/>
              <w:spacing w:before="42" w:line="360" w:lineRule="exact"/>
              <w:ind w:right="99"/>
              <w:jc w:val="center"/>
              <w:rPr>
                <w:sz w:val="21"/>
                <w:szCs w:val="21"/>
              </w:rPr>
            </w:pPr>
            <w:r>
              <w:rPr>
                <w:rFonts w:hint="eastAsia"/>
                <w:sz w:val="21"/>
                <w:szCs w:val="21"/>
              </w:rPr>
              <w:t>2</w:t>
            </w:r>
            <w:r>
              <w:rPr>
                <w:sz w:val="21"/>
                <w:szCs w:val="21"/>
              </w:rPr>
              <w:t>0</w:t>
            </w:r>
            <w:r>
              <w:rPr>
                <w:rFonts w:hint="eastAsia"/>
                <w:sz w:val="21"/>
                <w:szCs w:val="21"/>
              </w:rPr>
              <w:t>分</w:t>
            </w:r>
          </w:p>
        </w:tc>
        <w:tc>
          <w:tcPr>
            <w:tcW w:w="1418" w:type="dxa"/>
            <w:tcBorders>
              <w:top w:val="single" w:color="000000" w:sz="6" w:space="0"/>
              <w:bottom w:val="single" w:color="000000" w:sz="6" w:space="0"/>
              <w:right w:val="single" w:color="auto" w:sz="4" w:space="0"/>
            </w:tcBorders>
            <w:vAlign w:val="center"/>
          </w:tcPr>
          <w:p>
            <w:pPr>
              <w:pStyle w:val="5"/>
              <w:spacing w:before="42" w:line="360" w:lineRule="exact"/>
              <w:ind w:right="99"/>
              <w:jc w:val="center"/>
              <w:rPr>
                <w:sz w:val="21"/>
                <w:szCs w:val="21"/>
              </w:rPr>
            </w:pPr>
            <w:r>
              <w:rPr>
                <w:rFonts w:hint="eastAsia"/>
                <w:sz w:val="21"/>
                <w:szCs w:val="21"/>
              </w:rPr>
              <w:t>项目经理任职资格与业绩</w:t>
            </w:r>
          </w:p>
        </w:tc>
        <w:tc>
          <w:tcPr>
            <w:tcW w:w="852" w:type="dxa"/>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1</w:t>
            </w:r>
            <w:r>
              <w:rPr>
                <w:sz w:val="21"/>
                <w:szCs w:val="21"/>
              </w:rPr>
              <w:t>0</w:t>
            </w:r>
          </w:p>
        </w:tc>
        <w:tc>
          <w:tcPr>
            <w:tcW w:w="3898" w:type="dxa"/>
            <w:tcBorders>
              <w:top w:val="single" w:color="000000" w:sz="6" w:space="0"/>
              <w:left w:val="single" w:color="auto" w:sz="4" w:space="0"/>
              <w:bottom w:val="single" w:color="000000" w:sz="6" w:space="0"/>
              <w:right w:val="single" w:color="000000" w:sz="2" w:space="0"/>
            </w:tcBorders>
            <w:vAlign w:val="center"/>
          </w:tcPr>
          <w:p>
            <w:pPr>
              <w:pStyle w:val="5"/>
              <w:spacing w:line="300" w:lineRule="exact"/>
              <w:rPr>
                <w:rFonts w:hint="eastAsia"/>
                <w:sz w:val="21"/>
                <w:szCs w:val="21"/>
              </w:rPr>
            </w:pPr>
            <w:r>
              <w:rPr>
                <w:rFonts w:hint="eastAsia"/>
                <w:sz w:val="21"/>
                <w:szCs w:val="21"/>
              </w:rPr>
              <w:t>满足资格审查条件项目经理最低要求得10分。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3"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sz w:val="21"/>
                <w:szCs w:val="21"/>
              </w:rPr>
            </w:pPr>
          </w:p>
        </w:tc>
        <w:tc>
          <w:tcPr>
            <w:tcW w:w="1188" w:type="dxa"/>
            <w:gridSpan w:val="2"/>
            <w:vMerge w:val="continue"/>
            <w:tcBorders>
              <w:top w:val="single" w:color="000000" w:sz="6" w:space="0"/>
              <w:left w:val="single" w:color="auto" w:sz="4" w:space="0"/>
              <w:bottom w:val="single" w:color="000000" w:sz="6" w:space="0"/>
            </w:tcBorders>
            <w:vAlign w:val="center"/>
          </w:tcPr>
          <w:p>
            <w:pPr>
              <w:pStyle w:val="5"/>
              <w:spacing w:before="42" w:line="360" w:lineRule="exact"/>
              <w:ind w:right="99"/>
              <w:jc w:val="center"/>
              <w:rPr>
                <w:sz w:val="21"/>
                <w:szCs w:val="21"/>
              </w:rPr>
            </w:pPr>
          </w:p>
        </w:tc>
        <w:tc>
          <w:tcPr>
            <w:tcW w:w="1418" w:type="dxa"/>
            <w:tcBorders>
              <w:top w:val="single" w:color="000000" w:sz="6" w:space="0"/>
              <w:bottom w:val="single" w:color="000000" w:sz="6" w:space="0"/>
              <w:right w:val="single" w:color="auto" w:sz="4" w:space="0"/>
            </w:tcBorders>
            <w:vAlign w:val="center"/>
          </w:tcPr>
          <w:p>
            <w:pPr>
              <w:pStyle w:val="5"/>
              <w:spacing w:before="42" w:line="360" w:lineRule="exact"/>
              <w:ind w:right="99"/>
              <w:jc w:val="center"/>
              <w:rPr>
                <w:sz w:val="21"/>
                <w:szCs w:val="21"/>
              </w:rPr>
            </w:pPr>
            <w:r>
              <w:rPr>
                <w:rFonts w:hint="eastAsia"/>
                <w:sz w:val="21"/>
                <w:szCs w:val="21"/>
              </w:rPr>
              <w:t>项目总工任职资格与业绩</w:t>
            </w:r>
          </w:p>
        </w:tc>
        <w:tc>
          <w:tcPr>
            <w:tcW w:w="852" w:type="dxa"/>
            <w:tcBorders>
              <w:top w:val="single" w:color="000000" w:sz="6" w:space="0"/>
              <w:left w:val="single" w:color="auto" w:sz="4" w:space="0"/>
              <w:bottom w:val="single" w:color="000000" w:sz="6" w:space="0"/>
              <w:right w:val="single" w:color="auto" w:sz="4" w:space="0"/>
            </w:tcBorders>
            <w:vAlign w:val="center"/>
          </w:tcPr>
          <w:p>
            <w:pPr>
              <w:pStyle w:val="5"/>
              <w:spacing w:line="360" w:lineRule="exact"/>
              <w:jc w:val="center"/>
              <w:rPr>
                <w:rFonts w:hint="eastAsia"/>
                <w:sz w:val="21"/>
                <w:szCs w:val="21"/>
              </w:rPr>
            </w:pPr>
            <w:r>
              <w:rPr>
                <w:rFonts w:hint="eastAsia"/>
                <w:sz w:val="21"/>
                <w:szCs w:val="21"/>
              </w:rPr>
              <w:t>1</w:t>
            </w:r>
            <w:r>
              <w:rPr>
                <w:sz w:val="21"/>
                <w:szCs w:val="21"/>
              </w:rPr>
              <w:t>0</w:t>
            </w:r>
          </w:p>
        </w:tc>
        <w:tc>
          <w:tcPr>
            <w:tcW w:w="3898" w:type="dxa"/>
            <w:tcBorders>
              <w:top w:val="single" w:color="000000" w:sz="6" w:space="0"/>
              <w:left w:val="single" w:color="auto" w:sz="4" w:space="0"/>
              <w:bottom w:val="single" w:color="000000" w:sz="6" w:space="0"/>
              <w:right w:val="single" w:color="000000" w:sz="2" w:space="0"/>
            </w:tcBorders>
            <w:vAlign w:val="center"/>
          </w:tcPr>
          <w:p>
            <w:pPr>
              <w:spacing w:line="300" w:lineRule="exact"/>
              <w:jc w:val="left"/>
              <w:rPr>
                <w:rFonts w:hint="eastAsia" w:ascii="宋体" w:hAnsi="宋体"/>
                <w:szCs w:val="21"/>
              </w:rPr>
            </w:pPr>
            <w:r>
              <w:rPr>
                <w:rFonts w:hint="eastAsia" w:ascii="宋体" w:hAnsi="宋体"/>
                <w:szCs w:val="21"/>
              </w:rPr>
              <w:t>满足资格审查条件项目总工最低要求得10分。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52" w:hRule="atLeast"/>
          <w:jc w:val="center"/>
        </w:trPr>
        <w:tc>
          <w:tcPr>
            <w:tcW w:w="983" w:type="dxa"/>
            <w:vMerge w:val="restart"/>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r>
              <w:rPr>
                <w:rFonts w:hint="eastAsia" w:ascii="宋体" w:hAnsi="宋体"/>
                <w:b/>
                <w:szCs w:val="21"/>
              </w:rPr>
              <w:t>2.2.2(3)</w:t>
            </w:r>
          </w:p>
        </w:tc>
        <w:tc>
          <w:tcPr>
            <w:tcW w:w="1104" w:type="dxa"/>
            <w:vMerge w:val="restart"/>
            <w:tcBorders>
              <w:top w:val="single" w:color="000000" w:sz="6" w:space="0"/>
              <w:bottom w:val="single" w:color="000000" w:sz="6" w:space="0"/>
              <w:right w:val="single" w:color="auto" w:sz="4" w:space="0"/>
            </w:tcBorders>
            <w:vAlign w:val="center"/>
          </w:tcPr>
          <w:p>
            <w:pPr>
              <w:pStyle w:val="5"/>
              <w:spacing w:before="42" w:line="360" w:lineRule="exact"/>
              <w:ind w:right="99"/>
              <w:jc w:val="center"/>
              <w:rPr>
                <w:sz w:val="21"/>
                <w:szCs w:val="21"/>
              </w:rPr>
            </w:pPr>
            <w:r>
              <w:rPr>
                <w:rFonts w:hint="eastAsia"/>
                <w:sz w:val="21"/>
                <w:szCs w:val="21"/>
              </w:rPr>
              <w:t>其它因素</w:t>
            </w:r>
          </w:p>
        </w:tc>
        <w:tc>
          <w:tcPr>
            <w:tcW w:w="1188" w:type="dxa"/>
            <w:gridSpan w:val="2"/>
            <w:tcBorders>
              <w:top w:val="single" w:color="000000" w:sz="6" w:space="0"/>
              <w:left w:val="single" w:color="auto" w:sz="4" w:space="0"/>
              <w:bottom w:val="single" w:color="000000" w:sz="6" w:space="0"/>
            </w:tcBorders>
            <w:vAlign w:val="center"/>
          </w:tcPr>
          <w:p>
            <w:pPr>
              <w:spacing w:line="360" w:lineRule="exact"/>
              <w:jc w:val="center"/>
              <w:rPr>
                <w:rFonts w:ascii="宋体" w:hAnsi="宋体"/>
                <w:szCs w:val="21"/>
              </w:rPr>
            </w:pPr>
            <w:r>
              <w:rPr>
                <w:rFonts w:hint="eastAsia" w:ascii="宋体" w:hAnsi="宋体"/>
                <w:szCs w:val="21"/>
              </w:rPr>
              <w:t>25分</w:t>
            </w:r>
          </w:p>
        </w:tc>
        <w:tc>
          <w:tcPr>
            <w:tcW w:w="1418" w:type="dxa"/>
            <w:tcBorders>
              <w:top w:val="single" w:color="000000" w:sz="6" w:space="0"/>
              <w:bottom w:val="single" w:color="000000" w:sz="6" w:space="0"/>
              <w:right w:val="single" w:color="auto" w:sz="4" w:space="0"/>
            </w:tcBorders>
            <w:vAlign w:val="center"/>
          </w:tcPr>
          <w:p>
            <w:pPr>
              <w:spacing w:line="360" w:lineRule="exact"/>
              <w:jc w:val="center"/>
              <w:rPr>
                <w:rFonts w:hint="eastAsia" w:ascii="宋体" w:hAnsi="宋体"/>
                <w:szCs w:val="21"/>
              </w:rPr>
            </w:pPr>
            <w:r>
              <w:rPr>
                <w:rFonts w:hint="eastAsia" w:ascii="宋体" w:hAnsi="宋体"/>
                <w:szCs w:val="21"/>
              </w:rPr>
              <w:t>企业业绩</w:t>
            </w:r>
          </w:p>
        </w:tc>
        <w:tc>
          <w:tcPr>
            <w:tcW w:w="852" w:type="dxa"/>
            <w:tcBorders>
              <w:top w:val="single" w:color="000000" w:sz="6" w:space="0"/>
              <w:left w:val="single" w:color="auto" w:sz="4" w:space="0"/>
              <w:bottom w:val="single" w:color="000000" w:sz="6" w:space="0"/>
              <w:right w:val="single" w:color="auto" w:sz="4" w:space="0"/>
            </w:tcBorders>
            <w:vAlign w:val="center"/>
          </w:tcPr>
          <w:p>
            <w:pPr>
              <w:spacing w:line="360" w:lineRule="exact"/>
              <w:jc w:val="center"/>
              <w:rPr>
                <w:rFonts w:ascii="宋体" w:hAnsi="宋体"/>
                <w:szCs w:val="21"/>
              </w:rPr>
            </w:pPr>
            <w:r>
              <w:rPr>
                <w:rFonts w:hint="eastAsia" w:ascii="宋体" w:hAnsi="宋体"/>
                <w:szCs w:val="21"/>
              </w:rPr>
              <w:t>25</w:t>
            </w:r>
          </w:p>
        </w:tc>
        <w:tc>
          <w:tcPr>
            <w:tcW w:w="3898" w:type="dxa"/>
            <w:tcBorders>
              <w:top w:val="single" w:color="000000" w:sz="6" w:space="0"/>
              <w:left w:val="single" w:color="auto" w:sz="4" w:space="0"/>
              <w:bottom w:val="single" w:color="000000" w:sz="6" w:space="0"/>
              <w:right w:val="single" w:color="000000" w:sz="2" w:space="0"/>
            </w:tcBorders>
            <w:vAlign w:val="center"/>
          </w:tcPr>
          <w:p>
            <w:pPr>
              <w:spacing w:line="300" w:lineRule="exact"/>
              <w:jc w:val="left"/>
              <w:rPr>
                <w:rFonts w:hint="eastAsia" w:ascii="宋体" w:hAnsi="宋体"/>
                <w:szCs w:val="21"/>
              </w:rPr>
            </w:pPr>
            <w:r>
              <w:rPr>
                <w:rFonts w:hint="eastAsia" w:ascii="宋体" w:hAnsi="宋体"/>
                <w:szCs w:val="21"/>
              </w:rPr>
              <w:t>满足资格审查条件业绩得</w:t>
            </w:r>
            <w:r>
              <w:rPr>
                <w:rFonts w:ascii="宋体" w:hAnsi="宋体"/>
                <w:szCs w:val="21"/>
              </w:rPr>
              <w:t>1</w:t>
            </w:r>
            <w:r>
              <w:rPr>
                <w:rFonts w:hint="eastAsia" w:ascii="宋体" w:hAnsi="宋体"/>
                <w:szCs w:val="21"/>
              </w:rPr>
              <w:t>5分，每增加一个满足资格审查条件业绩加1</w:t>
            </w:r>
            <w:r>
              <w:rPr>
                <w:rFonts w:ascii="宋体" w:hAnsi="宋体"/>
                <w:szCs w:val="21"/>
              </w:rPr>
              <w:t>0</w:t>
            </w:r>
            <w:r>
              <w:rPr>
                <w:rFonts w:hint="eastAsia" w:ascii="宋体" w:hAnsi="宋体"/>
                <w:szCs w:val="21"/>
              </w:rPr>
              <w:t>分，最高得2</w:t>
            </w:r>
            <w:r>
              <w:rPr>
                <w:rFonts w:ascii="宋体" w:hAnsi="宋体"/>
                <w:szCs w:val="21"/>
              </w:rPr>
              <w:t>5</w:t>
            </w:r>
            <w:r>
              <w:rPr>
                <w:rFonts w:hint="eastAsia" w:ascii="宋体" w:hAnsi="宋体"/>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04" w:hRule="atLeast"/>
          <w:jc w:val="center"/>
        </w:trPr>
        <w:tc>
          <w:tcPr>
            <w:tcW w:w="983" w:type="dxa"/>
            <w:vMerge w:val="continue"/>
            <w:tcBorders>
              <w:top w:val="single" w:color="000000" w:sz="6" w:space="0"/>
              <w:left w:val="single" w:color="000000" w:sz="2" w:space="0"/>
              <w:bottom w:val="single" w:color="000000" w:sz="6" w:space="0"/>
            </w:tcBorders>
            <w:vAlign w:val="center"/>
          </w:tcPr>
          <w:p>
            <w:pPr>
              <w:spacing w:line="360" w:lineRule="exact"/>
              <w:ind w:right="113"/>
              <w:jc w:val="center"/>
              <w:rPr>
                <w:rFonts w:hint="eastAsia" w:ascii="宋体" w:hAnsi="宋体"/>
                <w:b/>
                <w:szCs w:val="21"/>
              </w:rPr>
            </w:pPr>
          </w:p>
        </w:tc>
        <w:tc>
          <w:tcPr>
            <w:tcW w:w="1104" w:type="dxa"/>
            <w:vMerge w:val="continue"/>
            <w:tcBorders>
              <w:top w:val="single" w:color="000000" w:sz="6" w:space="0"/>
              <w:bottom w:val="single" w:color="000000" w:sz="6" w:space="0"/>
              <w:right w:val="single" w:color="auto" w:sz="4" w:space="0"/>
            </w:tcBorders>
            <w:vAlign w:val="center"/>
          </w:tcPr>
          <w:p>
            <w:pPr>
              <w:pStyle w:val="5"/>
              <w:spacing w:before="42" w:line="360" w:lineRule="exact"/>
              <w:ind w:right="99"/>
              <w:jc w:val="center"/>
              <w:rPr>
                <w:rFonts w:hint="eastAsia"/>
                <w:sz w:val="21"/>
                <w:szCs w:val="21"/>
              </w:rPr>
            </w:pPr>
          </w:p>
        </w:tc>
        <w:tc>
          <w:tcPr>
            <w:tcW w:w="1188" w:type="dxa"/>
            <w:gridSpan w:val="2"/>
            <w:tcBorders>
              <w:top w:val="single" w:color="000000" w:sz="6" w:space="0"/>
              <w:left w:val="single" w:color="auto" w:sz="4" w:space="0"/>
              <w:bottom w:val="single" w:color="000000" w:sz="6" w:space="0"/>
            </w:tcBorders>
            <w:vAlign w:val="center"/>
          </w:tcPr>
          <w:p>
            <w:pPr>
              <w:spacing w:line="360" w:lineRule="exact"/>
              <w:jc w:val="center"/>
              <w:rPr>
                <w:rFonts w:hint="eastAsia" w:ascii="宋体" w:hAnsi="宋体"/>
                <w:szCs w:val="21"/>
              </w:rPr>
            </w:pPr>
            <w:r>
              <w:rPr>
                <w:rFonts w:hint="eastAsia" w:ascii="宋体" w:hAnsi="宋体"/>
                <w:szCs w:val="21"/>
              </w:rPr>
              <w:t>15分</w:t>
            </w:r>
          </w:p>
        </w:tc>
        <w:tc>
          <w:tcPr>
            <w:tcW w:w="1418" w:type="dxa"/>
            <w:tcBorders>
              <w:top w:val="single" w:color="000000" w:sz="6" w:space="0"/>
              <w:bottom w:val="single" w:color="000000" w:sz="6" w:space="0"/>
              <w:right w:val="single" w:color="auto" w:sz="4" w:space="0"/>
            </w:tcBorders>
            <w:vAlign w:val="center"/>
          </w:tcPr>
          <w:p>
            <w:pPr>
              <w:spacing w:line="360" w:lineRule="exact"/>
              <w:jc w:val="center"/>
              <w:rPr>
                <w:rFonts w:hint="eastAsia" w:ascii="宋体" w:hAnsi="宋体"/>
                <w:szCs w:val="21"/>
              </w:rPr>
            </w:pPr>
            <w:r>
              <w:rPr>
                <w:rFonts w:hint="eastAsia" w:ascii="宋体" w:hAnsi="宋体" w:cs="宋体"/>
                <w:kern w:val="0"/>
                <w:szCs w:val="21"/>
                <w:lang w:val="zh-CN"/>
              </w:rPr>
              <w:t>履约信誉</w:t>
            </w:r>
          </w:p>
        </w:tc>
        <w:tc>
          <w:tcPr>
            <w:tcW w:w="852" w:type="dxa"/>
            <w:tcBorders>
              <w:top w:val="single" w:color="000000" w:sz="6" w:space="0"/>
              <w:left w:val="single" w:color="auto" w:sz="4" w:space="0"/>
              <w:bottom w:val="single" w:color="000000" w:sz="6" w:space="0"/>
              <w:right w:val="single" w:color="auto" w:sz="4" w:space="0"/>
            </w:tcBorders>
            <w:vAlign w:val="center"/>
          </w:tcPr>
          <w:p>
            <w:pPr>
              <w:spacing w:line="360" w:lineRule="exact"/>
              <w:jc w:val="center"/>
              <w:rPr>
                <w:rFonts w:hint="eastAsia" w:ascii="宋体" w:hAnsi="宋体"/>
                <w:szCs w:val="21"/>
              </w:rPr>
            </w:pPr>
            <w:r>
              <w:rPr>
                <w:rFonts w:hint="eastAsia" w:ascii="宋体" w:hAnsi="宋体"/>
                <w:kern w:val="0"/>
                <w:szCs w:val="21"/>
              </w:rPr>
              <w:t>15</w:t>
            </w:r>
          </w:p>
        </w:tc>
        <w:tc>
          <w:tcPr>
            <w:tcW w:w="3898" w:type="dxa"/>
            <w:tcBorders>
              <w:top w:val="single" w:color="000000" w:sz="6" w:space="0"/>
              <w:left w:val="single" w:color="auto" w:sz="4" w:space="0"/>
              <w:bottom w:val="single" w:color="000000" w:sz="6" w:space="0"/>
              <w:right w:val="single" w:color="000000" w:sz="2" w:space="0"/>
            </w:tcBorders>
            <w:vAlign w:val="center"/>
          </w:tcPr>
          <w:p>
            <w:pPr>
              <w:spacing w:line="360" w:lineRule="exact"/>
              <w:jc w:val="left"/>
              <w:rPr>
                <w:rFonts w:hint="eastAsia" w:ascii="宋体" w:hAnsi="宋体"/>
                <w:szCs w:val="21"/>
              </w:rPr>
            </w:pPr>
            <w:r>
              <w:rPr>
                <w:rFonts w:hint="eastAsia" w:ascii="宋体" w:hAnsi="宋体"/>
                <w:szCs w:val="21"/>
              </w:rPr>
              <w:t>满足资格审查要求，得15分。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0" w:hRule="atLeast"/>
          <w:jc w:val="center"/>
        </w:trPr>
        <w:tc>
          <w:tcPr>
            <w:tcW w:w="9443" w:type="dxa"/>
            <w:gridSpan w:val="7"/>
            <w:tcBorders>
              <w:top w:val="single" w:color="000000" w:sz="6" w:space="0"/>
              <w:left w:val="single" w:color="000000" w:sz="2" w:space="0"/>
              <w:bottom w:val="single" w:color="000000" w:sz="2" w:space="0"/>
              <w:right w:val="single" w:color="000000" w:sz="2" w:space="0"/>
            </w:tcBorders>
            <w:vAlign w:val="center"/>
          </w:tcPr>
          <w:p>
            <w:pPr>
              <w:spacing w:line="360" w:lineRule="exact"/>
              <w:ind w:right="113"/>
              <w:rPr>
                <w:rFonts w:hint="eastAsia" w:ascii="宋体" w:hAnsi="宋体"/>
                <w:szCs w:val="21"/>
              </w:rPr>
            </w:pPr>
            <w:r>
              <w:rPr>
                <w:rFonts w:hint="eastAsia" w:ascii="宋体" w:hAnsi="宋体"/>
                <w:szCs w:val="21"/>
              </w:rPr>
              <w:t>需要补充的其他内容:无</w:t>
            </w:r>
          </w:p>
        </w:tc>
      </w:tr>
    </w:tbl>
    <w:p/>
    <w:p>
      <w:pPr>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2VjNzY4Yzc5M2E4ODVlMWVlOTE4ZjU2ZmQ0ZjUifQ=="/>
  </w:docVars>
  <w:rsids>
    <w:rsidRoot w:val="5ADA4936"/>
    <w:rsid w:val="02CF18BA"/>
    <w:rsid w:val="5ADA4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b/>
      <w:bCs/>
      <w:sz w:val="24"/>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493</Characters>
  <Lines>0</Lines>
  <Paragraphs>0</Paragraphs>
  <TotalTime>0</TotalTime>
  <ScaleCrop>false</ScaleCrop>
  <LinksUpToDate>false</LinksUpToDate>
  <CharactersWithSpaces>497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2022-11-08T09:29:00Z</dcterms:created>
  <dc:creator>Administrator</dc:creator>
  <cp:lastModifiedBy>Administrator</cp:lastModifiedBy>
  <dcterms:modified xsi:type="dcterms:W3CDTF">2022-11-08T09:31:45Z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37A02396C90F4BA2B6E0B194708D432B</vt:lpwstr>
  </property>
</Properties>
</file>