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atLeast"/>
        <w:ind w:right="0"/>
        <w:jc w:val="both"/>
        <w:textAlignment w:val="auto"/>
        <w:rPr>
          <w:rFonts w:hint="default"/>
          <w:sz w:val="21"/>
          <w:szCs w:val="21"/>
          <w:lang w:val="en-US"/>
        </w:rPr>
      </w:pPr>
      <w:bookmarkStart w:id="0" w:name="_GoBack"/>
      <w:r>
        <w:rPr>
          <w:rFonts w:hint="eastAsia" w:ascii="仿宋" w:hAnsi="仿宋" w:eastAsia="仿宋" w:cs="仿宋"/>
          <w:i w:val="0"/>
          <w:iCs w:val="0"/>
          <w:caps w:val="0"/>
          <w:color w:val="333333"/>
          <w:spacing w:val="-20"/>
          <w:kern w:val="0"/>
          <w:sz w:val="32"/>
          <w:szCs w:val="32"/>
          <w:shd w:val="clear" w:fill="FFFFFF"/>
          <w:lang w:val="en-US" w:eastAsia="zh-CN" w:bidi="ar"/>
        </w:rPr>
        <w:t>附件2</w:t>
      </w:r>
    </w:p>
    <w:bookmarkEnd w:id="0"/>
    <w:p>
      <w:pPr>
        <w:keepNext w:val="0"/>
        <w:keepLines w:val="0"/>
        <w:widowControl/>
        <w:suppressLineNumbers w:val="0"/>
        <w:shd w:val="clear" w:fill="FFFFFF"/>
        <w:spacing w:before="0" w:beforeAutospacing="0" w:after="0" w:afterAutospacing="0" w:line="520" w:lineRule="atLeast"/>
        <w:ind w:left="0" w:right="0" w:firstLine="0"/>
        <w:jc w:val="center"/>
        <w:rPr>
          <w:rFonts w:hint="eastAsia" w:ascii="仿宋" w:hAnsi="仿宋" w:eastAsia="仿宋" w:cs="仿宋"/>
          <w:b/>
          <w:bCs/>
          <w:i w:val="0"/>
          <w:iCs w:val="0"/>
          <w:caps w:val="0"/>
          <w:color w:val="333333"/>
          <w:spacing w:val="-20"/>
          <w:kern w:val="0"/>
          <w:sz w:val="36"/>
          <w:szCs w:val="36"/>
          <w:shd w:val="clear" w:fill="FFFFFF"/>
          <w:lang w:val="en-US" w:eastAsia="zh-CN" w:bidi="ar"/>
        </w:rPr>
      </w:pPr>
      <w:r>
        <w:rPr>
          <w:rFonts w:hint="eastAsia" w:ascii="仿宋" w:hAnsi="仿宋" w:eastAsia="仿宋" w:cs="仿宋"/>
          <w:b/>
          <w:bCs/>
          <w:i w:val="0"/>
          <w:iCs w:val="0"/>
          <w:caps w:val="0"/>
          <w:color w:val="333333"/>
          <w:spacing w:val="-20"/>
          <w:kern w:val="0"/>
          <w:sz w:val="36"/>
          <w:szCs w:val="36"/>
          <w:shd w:val="clear" w:fill="FFFFFF"/>
          <w:lang w:val="en-US" w:eastAsia="zh-CN" w:bidi="ar"/>
        </w:rPr>
        <w:t>沧州交通发展（集团）有限责任公司关于招标代理机构的</w:t>
      </w:r>
    </w:p>
    <w:p>
      <w:pPr>
        <w:keepNext w:val="0"/>
        <w:keepLines w:val="0"/>
        <w:widowControl/>
        <w:suppressLineNumbers w:val="0"/>
        <w:shd w:val="clear" w:fill="FFFFFF"/>
        <w:spacing w:before="0" w:beforeAutospacing="0" w:after="0" w:afterAutospacing="0" w:line="520" w:lineRule="atLeast"/>
        <w:ind w:left="0" w:right="0" w:firstLine="0"/>
        <w:jc w:val="center"/>
        <w:rPr>
          <w:rFonts w:hint="eastAsia" w:ascii="仿宋" w:hAnsi="仿宋" w:eastAsia="仿宋" w:cs="仿宋"/>
          <w:b/>
          <w:bCs/>
          <w:i w:val="0"/>
          <w:iCs w:val="0"/>
          <w:caps w:val="0"/>
          <w:color w:val="333333"/>
          <w:spacing w:val="-20"/>
          <w:kern w:val="0"/>
          <w:sz w:val="36"/>
          <w:szCs w:val="36"/>
          <w:shd w:val="clear" w:fill="FFFFFF"/>
          <w:lang w:val="en-US" w:eastAsia="zh-CN" w:bidi="ar"/>
        </w:rPr>
      </w:pPr>
      <w:r>
        <w:rPr>
          <w:rFonts w:hint="eastAsia" w:ascii="仿宋" w:hAnsi="仿宋" w:eastAsia="仿宋" w:cs="仿宋"/>
          <w:b/>
          <w:bCs/>
          <w:i w:val="0"/>
          <w:iCs w:val="0"/>
          <w:caps w:val="0"/>
          <w:color w:val="333333"/>
          <w:spacing w:val="-20"/>
          <w:kern w:val="0"/>
          <w:sz w:val="36"/>
          <w:szCs w:val="36"/>
          <w:shd w:val="clear" w:fill="FFFFFF"/>
          <w:lang w:val="en-US" w:eastAsia="zh-CN" w:bidi="ar"/>
        </w:rPr>
        <w:t>信誉、资质、人员、业绩的征集审查要求</w:t>
      </w:r>
    </w:p>
    <w:tbl>
      <w:tblPr>
        <w:tblStyle w:val="2"/>
        <w:tblpPr w:leftFromText="180" w:rightFromText="180" w:vertAnchor="text" w:horzAnchor="page" w:tblpX="1211" w:tblpY="650"/>
        <w:tblOverlap w:val="never"/>
        <w:tblW w:w="99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757"/>
        <w:gridCol w:w="7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2550" w:type="dxa"/>
            <w:gridSpan w:val="2"/>
            <w:vAlign w:val="top"/>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审查项</w:t>
            </w:r>
          </w:p>
        </w:tc>
        <w:tc>
          <w:tcPr>
            <w:tcW w:w="7389" w:type="dxa"/>
            <w:vAlign w:val="top"/>
          </w:tcPr>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9" w:hRule="atLeast"/>
        </w:trPr>
        <w:tc>
          <w:tcPr>
            <w:tcW w:w="2550" w:type="dxa"/>
            <w:gridSpan w:val="2"/>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信誉</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（一、二类）</w:t>
            </w:r>
          </w:p>
        </w:tc>
        <w:tc>
          <w:tcPr>
            <w:tcW w:w="7389"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①未被河北省交通运输厅及其上级单位取消在河北省内的投标资格或禁止进入河北省公路建设市场，且处于有效期内。</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②未被责令停业、暂扣或者吊销执照，或吊销资质证书。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③未进入清算程序，或被宣告破产，或存在其他丧失履约能力的情形。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④在国家企业信用信息公示系统（</w:t>
            </w:r>
            <w:r>
              <w:rPr>
                <w:rFonts w:hint="eastAsia" w:ascii="Times New Roman" w:hAnsi="Times New Roman" w:eastAsia="仿宋_GB2312" w:cs="仿宋_GB2312"/>
                <w:i w:val="0"/>
                <w:iCs w:val="0"/>
                <w:caps w:val="0"/>
                <w:color w:val="121212"/>
                <w:spacing w:val="0"/>
                <w:kern w:val="2"/>
                <w:sz w:val="28"/>
                <w:szCs w:val="28"/>
                <w:shd w:val="clear" w:fill="FFFFFF"/>
                <w:lang w:val="en-US" w:eastAsia="zh-CN" w:bidi="ar-SA"/>
              </w:rPr>
              <w:t>http://www.gsxt.gov.cn/</w:t>
            </w:r>
            <w:r>
              <w:rPr>
                <w:rFonts w:hint="eastAsia" w:ascii="仿宋_GB2312" w:hAnsi="仿宋_GB2312" w:eastAsia="仿宋_GB2312" w:cs="仿宋_GB2312"/>
                <w:sz w:val="28"/>
                <w:szCs w:val="28"/>
                <w:lang w:val="en-US" w:eastAsia="zh-CN"/>
              </w:rPr>
              <w:t>）中未被列入严重违法失信企业名单。</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⑤在“信用中国”网站（</w:t>
            </w:r>
            <w:r>
              <w:rPr>
                <w:rFonts w:hint="eastAsia" w:ascii="Times New Roman" w:hAnsi="Times New Roman" w:eastAsia="仿宋_GB2312" w:cs="仿宋_GB2312"/>
                <w:i w:val="0"/>
                <w:iCs w:val="0"/>
                <w:caps w:val="0"/>
                <w:color w:val="121212"/>
                <w:spacing w:val="0"/>
                <w:kern w:val="2"/>
                <w:sz w:val="28"/>
                <w:szCs w:val="28"/>
                <w:shd w:val="clear" w:fill="FFFFFF"/>
                <w:lang w:val="en-US" w:eastAsia="zh-CN" w:bidi="ar-SA"/>
              </w:rPr>
              <w:t>http://www.creditchina.gov.cn/</w:t>
            </w:r>
            <w:r>
              <w:rPr>
                <w:rFonts w:hint="eastAsia" w:ascii="仿宋_GB2312" w:hAnsi="仿宋_GB2312" w:eastAsia="仿宋_GB2312" w:cs="仿宋_GB2312"/>
                <w:sz w:val="28"/>
                <w:szCs w:val="28"/>
                <w:lang w:val="en-US" w:eastAsia="zh-CN"/>
              </w:rPr>
              <w:t>）中未被列入失信被执行人名单。</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⑥报名单位及其分（子）公司、法定代表人、委托代理人（如有）、拟委任的项目负责人在近三年（指2019年1月1日至征集公告发布前一日，下同）内在经营活动中没有重大违法记录、无行贿犯罪行为以及无行政处罚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trPr>
        <w:tc>
          <w:tcPr>
            <w:tcW w:w="2550" w:type="dxa"/>
            <w:gridSpan w:val="2"/>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资质</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（一、二类）</w:t>
            </w:r>
          </w:p>
        </w:tc>
        <w:tc>
          <w:tcPr>
            <w:tcW w:w="7389" w:type="dxa"/>
            <w:tcBorders>
              <w:bottom w:val="single" w:color="auto" w:sz="4" w:space="0"/>
            </w:tcBorders>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具备独立法人资格，具有有效的营业执照。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550" w:type="dxa"/>
            <w:gridSpan w:val="2"/>
            <w:vMerge w:val="restart"/>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人员</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（一、二类）</w:t>
            </w:r>
          </w:p>
        </w:tc>
        <w:tc>
          <w:tcPr>
            <w:tcW w:w="7389" w:type="dxa"/>
            <w:tcBorders>
              <w:top w:val="single" w:color="auto" w:sz="4" w:space="0"/>
              <w:bottom w:val="single" w:color="auto" w:sz="4" w:space="0"/>
            </w:tcBorders>
            <w:vAlign w:val="top"/>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缴纳社保人员</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人以上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9" w:hRule="atLeast"/>
        </w:trPr>
        <w:tc>
          <w:tcPr>
            <w:tcW w:w="2550" w:type="dxa"/>
            <w:gridSpan w:val="2"/>
            <w:vMerge w:val="continue"/>
            <w:vAlign w:val="center"/>
          </w:tcPr>
          <w:p>
            <w:pPr>
              <w:jc w:val="center"/>
              <w:rPr>
                <w:rFonts w:hint="eastAsia" w:ascii="仿宋_GB2312" w:hAnsi="仿宋_GB2312" w:eastAsia="仿宋_GB2312" w:cs="仿宋_GB2312"/>
                <w:sz w:val="28"/>
                <w:szCs w:val="28"/>
              </w:rPr>
            </w:pPr>
          </w:p>
        </w:tc>
        <w:tc>
          <w:tcPr>
            <w:tcW w:w="7389"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所有缴纳社保人员中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主要负责人要求中级以上职称，且具有5年以上相关工作经验，具备</w:t>
            </w:r>
            <w:r>
              <w:rPr>
                <w:rFonts w:hint="eastAsia" w:ascii="仿宋_GB2312" w:hAnsi="仿宋_GB2312" w:eastAsia="仿宋_GB2312" w:cs="仿宋_GB2312"/>
                <w:sz w:val="28"/>
                <w:szCs w:val="28"/>
              </w:rPr>
              <w:t>高级职称人员、注册造价师、注册建造师</w:t>
            </w:r>
            <w:r>
              <w:rPr>
                <w:rFonts w:hint="eastAsia" w:ascii="仿宋_GB2312" w:hAnsi="仿宋_GB2312" w:eastAsia="仿宋_GB2312" w:cs="仿宋_GB2312"/>
                <w:sz w:val="28"/>
                <w:szCs w:val="28"/>
                <w:lang w:val="en-US" w:eastAsia="zh-CN"/>
              </w:rPr>
              <w:t>的报名单位优先考虑</w:t>
            </w:r>
            <w:r>
              <w:rPr>
                <w:rFonts w:hint="eastAsia" w:ascii="仿宋_GB2312" w:hAnsi="仿宋_GB2312" w:eastAsia="仿宋_GB2312" w:cs="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793"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业绩</w:t>
            </w:r>
          </w:p>
        </w:tc>
        <w:tc>
          <w:tcPr>
            <w:tcW w:w="1757"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工程类</w:t>
            </w:r>
          </w:p>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（一类）</w:t>
            </w:r>
          </w:p>
        </w:tc>
        <w:tc>
          <w:tcPr>
            <w:tcW w:w="7389" w:type="dxa"/>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近</w:t>
            </w:r>
            <w:r>
              <w:rPr>
                <w:rFonts w:hint="eastAsia" w:ascii="仿宋_GB2312" w:hAnsi="仿宋_GB2312" w:eastAsia="仿宋_GB2312" w:cs="仿宋_GB2312"/>
                <w:sz w:val="28"/>
                <w:szCs w:val="28"/>
                <w:lang w:val="en-US" w:eastAsia="zh-CN"/>
              </w:rPr>
              <w:t>两</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2020年10月至今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时间以合同签定时间为准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①承担过</w:t>
            </w:r>
            <w:r>
              <w:rPr>
                <w:rFonts w:hint="eastAsia" w:ascii="仿宋_GB2312" w:hAnsi="仿宋_GB2312" w:eastAsia="仿宋_GB2312" w:cs="仿宋_GB2312"/>
                <w:sz w:val="28"/>
                <w:szCs w:val="28"/>
              </w:rPr>
              <w:t>高速公路或国省干线交通项目代理</w:t>
            </w:r>
            <w:r>
              <w:rPr>
                <w:rFonts w:hint="eastAsia" w:ascii="仿宋_GB2312" w:hAnsi="仿宋_GB2312" w:eastAsia="仿宋_GB2312" w:cs="仿宋_GB2312"/>
                <w:sz w:val="28"/>
                <w:szCs w:val="28"/>
                <w:lang w:val="en-US" w:eastAsia="zh-CN"/>
              </w:rPr>
              <w:t>业务</w:t>
            </w:r>
            <w:r>
              <w:rPr>
                <w:rFonts w:hint="eastAsia" w:ascii="仿宋_GB2312" w:hAnsi="仿宋_GB2312" w:eastAsia="仿宋_GB2312" w:cs="仿宋_GB2312"/>
                <w:sz w:val="28"/>
                <w:szCs w:val="28"/>
              </w:rPr>
              <w:t>，单项施工合同金额</w:t>
            </w:r>
            <w:r>
              <w:rPr>
                <w:rFonts w:hint="eastAsia" w:ascii="仿宋_GB2312" w:hAnsi="仿宋_GB2312" w:eastAsia="仿宋_GB2312" w:cs="仿宋_GB2312"/>
                <w:sz w:val="28"/>
                <w:szCs w:val="28"/>
                <w:lang w:val="en-US" w:eastAsia="zh-CN"/>
              </w:rPr>
              <w:t>在</w:t>
            </w:r>
            <w:r>
              <w:rPr>
                <w:rFonts w:hint="eastAsia" w:ascii="仿宋_GB2312" w:hAnsi="仿宋_GB2312" w:eastAsia="仿宋_GB2312" w:cs="仿宋_GB2312"/>
                <w:sz w:val="28"/>
                <w:szCs w:val="28"/>
              </w:rPr>
              <w:t>1000万</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以上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单项施工合同额大者优先</w:t>
            </w:r>
            <w:r>
              <w:rPr>
                <w:rFonts w:hint="eastAsia" w:ascii="仿宋_GB2312" w:hAnsi="仿宋_GB2312" w:eastAsia="仿宋_GB2312" w:cs="仿宋_GB2312"/>
                <w:sz w:val="28"/>
                <w:szCs w:val="28"/>
                <w:lang w:val="en-US" w:eastAsia="zh-CN"/>
              </w:rPr>
              <w:t>考虑</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②承担过</w:t>
            </w:r>
            <w:r>
              <w:rPr>
                <w:rFonts w:hint="eastAsia" w:ascii="仿宋_GB2312" w:hAnsi="仿宋_GB2312" w:eastAsia="仿宋_GB2312" w:cs="仿宋_GB2312"/>
                <w:sz w:val="28"/>
                <w:szCs w:val="28"/>
              </w:rPr>
              <w:t>高速公路或国省干线</w:t>
            </w:r>
            <w:r>
              <w:rPr>
                <w:rFonts w:hint="eastAsia" w:ascii="仿宋_GB2312" w:hAnsi="仿宋_GB2312" w:eastAsia="仿宋_GB2312" w:cs="仿宋_GB2312"/>
                <w:sz w:val="28"/>
                <w:szCs w:val="28"/>
                <w:lang w:val="en-US" w:eastAsia="zh-CN"/>
              </w:rPr>
              <w:t>勘察设计、监理项目代理业务，</w:t>
            </w:r>
            <w:r>
              <w:rPr>
                <w:rFonts w:hint="eastAsia" w:ascii="仿宋_GB2312" w:hAnsi="仿宋_GB2312" w:eastAsia="仿宋_GB2312" w:cs="仿宋_GB2312"/>
                <w:sz w:val="28"/>
                <w:szCs w:val="28"/>
              </w:rPr>
              <w:t>单项合同额大者优先</w:t>
            </w:r>
            <w:r>
              <w:rPr>
                <w:rFonts w:hint="eastAsia" w:ascii="仿宋_GB2312" w:hAnsi="仿宋_GB2312" w:eastAsia="仿宋_GB2312" w:cs="仿宋_GB2312"/>
                <w:sz w:val="28"/>
                <w:szCs w:val="28"/>
                <w:lang w:val="en-US" w:eastAsia="zh-CN"/>
              </w:rPr>
              <w:t>考虑。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793" w:type="dxa"/>
            <w:vMerge w:val="continue"/>
            <w:tcBorders>
              <w:bottom w:val="single" w:color="auto" w:sz="4" w:space="0"/>
            </w:tcBorders>
            <w:vAlign w:val="center"/>
          </w:tcPr>
          <w:p>
            <w:pPr>
              <w:jc w:val="center"/>
              <w:rPr>
                <w:rFonts w:hint="eastAsia" w:ascii="仿宋_GB2312" w:hAnsi="仿宋_GB2312" w:eastAsia="仿宋_GB2312" w:cs="仿宋_GB2312"/>
                <w:sz w:val="28"/>
                <w:szCs w:val="28"/>
              </w:rPr>
            </w:pPr>
          </w:p>
        </w:tc>
        <w:tc>
          <w:tcPr>
            <w:tcW w:w="1757" w:type="dxa"/>
            <w:tcBorders>
              <w:bottom w:val="single" w:color="auto" w:sz="4" w:space="0"/>
            </w:tcBorders>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货物、服务类</w:t>
            </w:r>
          </w:p>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（二类）</w:t>
            </w:r>
          </w:p>
        </w:tc>
        <w:tc>
          <w:tcPr>
            <w:tcW w:w="7389"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近</w:t>
            </w:r>
            <w:r>
              <w:rPr>
                <w:rFonts w:hint="eastAsia" w:ascii="仿宋_GB2312" w:hAnsi="仿宋_GB2312" w:eastAsia="仿宋_GB2312" w:cs="仿宋_GB2312"/>
                <w:sz w:val="28"/>
                <w:szCs w:val="28"/>
                <w:lang w:val="en-US" w:eastAsia="zh-CN"/>
              </w:rPr>
              <w:t>两</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2020年10月至今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时间以合同签定时间为准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承担过不少于30个采购项目（包括公开招标、竞争金磋商、竞争性谈判或询价比选）的代理工作，单项合同额大者、代理项目类型多样者优先考虑。</w:t>
            </w:r>
          </w:p>
        </w:tc>
      </w:tr>
    </w:tbl>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atLeast"/>
        <w:ind w:right="0"/>
        <w:jc w:val="both"/>
        <w:textAlignment w:val="auto"/>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4FF21010"/>
    <w:rsid w:val="4FF21010"/>
    <w:rsid w:val="763E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214</Characters>
  <Lines>0</Lines>
  <Paragraphs>0</Paragraphs>
  <TotalTime>0</TotalTime>
  <ScaleCrop>false</ScaleCrop>
  <LinksUpToDate>false</LinksUpToDate>
  <CharactersWithSpaces>280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2022-10-25T09:00:00Z</dcterms:created>
  <dc:creator>独守一座空城ノ苍颜了谁</dc:creator>
  <cp:lastModifiedBy>独守一座空城ノ苍颜了谁</cp:lastModifiedBy>
  <dcterms:modified xsi:type="dcterms:W3CDTF">2022-10-25T09:03:32Z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2B1E95F8D4A94C478EE5B68D15408181</vt:lpwstr>
  </property>
</Properties>
</file>