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line="500" w:lineRule="exact"/>
        <w:ind w:left="0" w:right="0" w:firstLine="482" w:firstLineChars="200"/>
        <w:jc w:val="both"/>
        <w:rPr>
          <w:rFonts w:hint="eastAsia" w:ascii="宋体" w:hAnsi="宋体" w:eastAsia="宋体" w:cs="宋体"/>
          <w:b/>
          <w:bCs w:val="0"/>
          <w:sz w:val="24"/>
          <w:szCs w:val="24"/>
          <w:lang w:val="en-US"/>
        </w:rPr>
      </w:pPr>
      <w:r>
        <w:rPr>
          <w:rFonts w:hint="eastAsia" w:ascii="宋体" w:hAnsi="宋体" w:eastAsia="宋体" w:cs="宋体"/>
          <w:b/>
          <w:bCs w:val="0"/>
          <w:color w:val="auto"/>
          <w:kern w:val="2"/>
          <w:sz w:val="24"/>
          <w:szCs w:val="24"/>
          <w:lang w:val="en-US" w:eastAsia="zh-CN" w:bidi="ar"/>
        </w:rPr>
        <w:t>附件1：资格审查条件</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bookmarkStart w:id="0" w:name="_Toc385352033"/>
      <w:bookmarkStart w:id="1" w:name="_Toc343514334"/>
      <w:bookmarkStart w:id="2" w:name="_Toc343514741"/>
      <w:bookmarkStart w:id="3" w:name="_Toc343514639"/>
      <w:bookmarkStart w:id="4" w:name="_Toc377105625"/>
      <w:r>
        <w:rPr>
          <w:rFonts w:hint="eastAsia" w:ascii="宋体" w:hAnsi="宋体" w:eastAsia="宋体" w:cs="宋体"/>
          <w:b/>
          <w:bCs w:val="0"/>
          <w:color w:val="auto"/>
          <w:kern w:val="2"/>
          <w:sz w:val="21"/>
          <w:szCs w:val="21"/>
          <w:lang w:val="en-US" w:eastAsia="zh-CN" w:bidi="ar"/>
        </w:rPr>
        <w:t xml:space="preserve">附录1 资格审查条件（资质最低要求） </w:t>
      </w:r>
      <w:bookmarkEnd w:id="0"/>
      <w:bookmarkEnd w:id="1"/>
      <w:bookmarkEnd w:id="2"/>
      <w:bookmarkEnd w:id="3"/>
      <w:bookmarkEnd w:id="4"/>
    </w:p>
    <w:tbl>
      <w:tblPr>
        <w:tblStyle w:val="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autofit"/>
        <w:tblCellMar>
          <w:top w:w="0" w:type="dxa"/>
          <w:left w:w="108" w:type="dxa"/>
          <w:bottom w:w="0" w:type="dxa"/>
          <w:right w:w="108" w:type="dxa"/>
        </w:tblCellMar>
      </w:tblPr>
      <w:tblGrid>
        <w:gridCol w:w="93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CellMar>
            <w:top w:w="0" w:type="dxa"/>
            <w:left w:w="108" w:type="dxa"/>
            <w:bottom w:w="0" w:type="dxa"/>
            <w:right w:w="108" w:type="dxa"/>
          </w:tblCellMar>
        </w:tblPrEx>
        <w:trPr>
          <w:trHeight w:val="539" w:hRule="atLeast"/>
        </w:trPr>
        <w:tc>
          <w:tcPr>
            <w:tcW w:w="5000" w:type="pct"/>
            <w:tcBorders>
              <w:top w:val="single" w:color="auto" w:sz="2" w:space="0"/>
              <w:left w:val="single" w:color="auto" w:sz="2" w:space="0"/>
              <w:bottom w:val="single" w:color="auto" w:sz="4" w:space="0"/>
              <w:right w:val="single" w:color="auto" w:sz="2"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color w:val="auto"/>
                <w:kern w:val="2"/>
                <w:sz w:val="21"/>
                <w:szCs w:val="21"/>
                <w:bdr w:val="none" w:color="auto" w:sz="0" w:space="0"/>
                <w:lang w:val="en-US" w:eastAsia="zh-CN" w:bidi="ar"/>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CellMar>
            <w:top w:w="0" w:type="dxa"/>
            <w:left w:w="108" w:type="dxa"/>
            <w:bottom w:w="0" w:type="dxa"/>
            <w:right w:w="108" w:type="dxa"/>
          </w:tblCellMar>
        </w:tblPrEx>
        <w:trPr>
          <w:trHeight w:val="1421" w:hRule="atLeast"/>
        </w:trPr>
        <w:tc>
          <w:tcPr>
            <w:tcW w:w="5000" w:type="pct"/>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具有独立法人资格，持有工商行政管理部门核发的有效企业营业执照或事业单位法人证书；</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具有交通运输部门颁发的公路水运工程试验检测机构公路工程综合甲级等级证书，并具有省级或省级以上质量技术监督行政管理部门颁发的《检验检测机构资质认定证书》。</w:t>
            </w:r>
          </w:p>
        </w:tc>
      </w:tr>
    </w:tbl>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bookmarkStart w:id="5" w:name="_Toc377105627"/>
      <w:bookmarkStart w:id="6" w:name="_Toc343514336"/>
      <w:bookmarkStart w:id="7" w:name="_Toc343514743"/>
      <w:bookmarkStart w:id="8" w:name="_Toc385352035"/>
      <w:bookmarkStart w:id="9" w:name="_Toc343514641"/>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附录2资格审查条件 （业绩最低要求）</w:t>
      </w:r>
      <w:bookmarkEnd w:id="5"/>
      <w:bookmarkEnd w:id="6"/>
      <w:bookmarkEnd w:id="7"/>
      <w:bookmarkEnd w:id="8"/>
      <w:bookmarkEnd w:id="9"/>
    </w:p>
    <w:tbl>
      <w:tblPr>
        <w:tblStyle w:val="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Layout w:type="autofit"/>
        <w:tblCellMar>
          <w:top w:w="0" w:type="dxa"/>
          <w:left w:w="108" w:type="dxa"/>
          <w:bottom w:w="0" w:type="dxa"/>
          <w:right w:w="108" w:type="dxa"/>
        </w:tblCellMar>
      </w:tblPr>
      <w:tblGrid>
        <w:gridCol w:w="934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CellMar>
            <w:top w:w="0" w:type="dxa"/>
            <w:left w:w="108" w:type="dxa"/>
            <w:bottom w:w="0" w:type="dxa"/>
            <w:right w:w="108" w:type="dxa"/>
          </w:tblCellMar>
        </w:tblPrEx>
        <w:trPr>
          <w:trHeight w:val="492" w:hRule="atLeast"/>
        </w:trPr>
        <w:tc>
          <w:tcPr>
            <w:tcW w:w="5000" w:type="pct"/>
            <w:tcBorders>
              <w:top w:val="single" w:color="auto" w:sz="2" w:space="0"/>
              <w:left w:val="single" w:color="auto" w:sz="2" w:space="0"/>
              <w:bottom w:val="single" w:color="auto" w:sz="2" w:space="0"/>
              <w:right w:val="single" w:color="auto" w:sz="2"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bdr w:val="none" w:color="auto" w:sz="0" w:space="0"/>
                <w:lang w:val="en-US"/>
              </w:rPr>
            </w:pPr>
            <w:r>
              <w:rPr>
                <w:rFonts w:hint="eastAsia" w:ascii="宋体" w:hAnsi="宋体" w:eastAsia="宋体" w:cs="宋体"/>
                <w:b/>
                <w:bCs w:val="0"/>
                <w:color w:val="auto"/>
                <w:kern w:val="2"/>
                <w:sz w:val="21"/>
                <w:szCs w:val="21"/>
                <w:bdr w:val="none" w:color="auto" w:sz="0" w:space="0"/>
                <w:lang w:val="en-US" w:eastAsia="zh-CN" w:bidi="ar"/>
              </w:rPr>
              <w:t>业绩要求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tblCellMar>
            <w:top w:w="0" w:type="dxa"/>
            <w:left w:w="108" w:type="dxa"/>
            <w:bottom w:w="0" w:type="dxa"/>
            <w:right w:w="108" w:type="dxa"/>
          </w:tblCellMar>
        </w:tblPrEx>
        <w:trPr>
          <w:trHeight w:val="698" w:hRule="atLeast"/>
        </w:trPr>
        <w:tc>
          <w:tcPr>
            <w:tcW w:w="5000" w:type="pct"/>
            <w:tcBorders>
              <w:top w:val="single" w:color="auto" w:sz="2" w:space="0"/>
              <w:left w:val="single" w:color="auto" w:sz="2" w:space="0"/>
              <w:bottom w:val="single" w:color="auto" w:sz="4" w:space="0"/>
              <w:right w:val="single" w:color="auto" w:sz="2" w:space="0"/>
            </w:tcBorders>
            <w:shd w:val="clear"/>
            <w:vAlign w:val="center"/>
          </w:tcPr>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近5年内（2017年1月1日至开标日，以合同签订时间为准）至少独立承担过1项合同金额不少于400万元的高速公路检测业绩。</w:t>
            </w:r>
          </w:p>
        </w:tc>
      </w:tr>
    </w:tbl>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bookmarkStart w:id="10" w:name="_Toc343514337"/>
      <w:bookmarkStart w:id="11" w:name="_Toc343514744"/>
      <w:bookmarkStart w:id="12" w:name="_Toc385352036"/>
      <w:bookmarkStart w:id="13" w:name="_Toc343514642"/>
      <w:bookmarkStart w:id="14" w:name="_Toc377105628"/>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 xml:space="preserve">附录3资格审查条件（信誉最低要求） </w:t>
      </w:r>
      <w:bookmarkEnd w:id="10"/>
      <w:bookmarkEnd w:id="11"/>
      <w:bookmarkEnd w:id="12"/>
      <w:bookmarkEnd w:id="13"/>
      <w:bookmarkEnd w:id="14"/>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9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1" w:hRule="atLeast"/>
        </w:trPr>
        <w:tc>
          <w:tcPr>
            <w:tcW w:w="5000"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color w:val="auto"/>
                <w:kern w:val="2"/>
                <w:sz w:val="21"/>
                <w:szCs w:val="21"/>
                <w:bdr w:val="none" w:color="auto" w:sz="0" w:space="0"/>
                <w:lang w:val="en-US" w:eastAsia="zh-CN" w:bidi="ar"/>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1" w:hRule="atLeast"/>
        </w:trPr>
        <w:tc>
          <w:tcPr>
            <w:tcW w:w="5000" w:type="pct"/>
            <w:vMerge w:val="restar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投标人过去1年（2021年9月1日至开标日）中不曾在公路项目合同中违约而被驱逐或因投标人自身的原因而使合同被解除。</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 xml:space="preserve">在国家企业信用信息公示系统（http://www.gsxt.gov.cn/）中未被列入严重违法失信名单（黑名单）（不含分公司，事业单位除外）、在“信用中国”网站(http://www.creditchina.gov.cn/)中未被列入失信被执行人、异常经营名录、税收违法黑名单和政府采 购严重违法失信行为记录名单（均不含分公司）。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493" w:hRule="atLeast"/>
        </w:trPr>
        <w:tc>
          <w:tcPr>
            <w:tcW w:w="5000"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r>
    </w:tbl>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bookmarkStart w:id="15" w:name="_Toc343514338"/>
      <w:bookmarkStart w:id="16" w:name="_Toc343514643"/>
      <w:bookmarkStart w:id="17" w:name="_Toc377105629"/>
      <w:bookmarkStart w:id="18" w:name="_Toc385352037"/>
      <w:bookmarkStart w:id="19" w:name="_Toc343514745"/>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附录4</w:t>
      </w:r>
      <w:r>
        <w:rPr>
          <w:rFonts w:hint="eastAsia" w:ascii="Times New Roman" w:hAnsi="Times New Roman" w:eastAsia="宋体" w:cs="宋体"/>
          <w:b/>
          <w:bCs w:val="0"/>
          <w:color w:val="auto"/>
          <w:kern w:val="2"/>
          <w:sz w:val="21"/>
          <w:szCs w:val="21"/>
          <w:lang w:val="en-US" w:eastAsia="zh-CN" w:bidi="ar"/>
        </w:rPr>
        <w:t>资格审查条件（主要人员最低要求）</w:t>
      </w:r>
      <w:r>
        <w:rPr>
          <w:rFonts w:hint="eastAsia" w:ascii="宋体" w:hAnsi="宋体" w:eastAsia="宋体" w:cs="宋体"/>
          <w:b/>
          <w:bCs w:val="0"/>
          <w:color w:val="auto"/>
          <w:kern w:val="2"/>
          <w:sz w:val="21"/>
          <w:szCs w:val="21"/>
          <w:lang w:val="en-US" w:eastAsia="zh-CN" w:bidi="ar"/>
        </w:rPr>
        <w:t xml:space="preserve"> </w:t>
      </w:r>
      <w:bookmarkEnd w:id="15"/>
      <w:bookmarkEnd w:id="16"/>
      <w:bookmarkEnd w:id="17"/>
      <w:bookmarkEnd w:id="18"/>
      <w:bookmarkEnd w:id="19"/>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autofit"/>
        <w:tblCellMar>
          <w:top w:w="0" w:type="dxa"/>
          <w:left w:w="108" w:type="dxa"/>
          <w:bottom w:w="0" w:type="dxa"/>
          <w:right w:w="108" w:type="dxa"/>
        </w:tblCellMar>
      </w:tblPr>
      <w:tblGrid>
        <w:gridCol w:w="1376"/>
        <w:gridCol w:w="707"/>
        <w:gridCol w:w="5209"/>
        <w:gridCol w:w="20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597" w:hRule="atLeast"/>
          <w:tblHeader/>
          <w:jc w:val="center"/>
        </w:trPr>
        <w:tc>
          <w:tcPr>
            <w:tcW w:w="1376" w:type="dxa"/>
            <w:tcBorders>
              <w:top w:val="single" w:color="000000" w:sz="4" w:space="0"/>
              <w:left w:val="single" w:color="000000" w:sz="4" w:space="0"/>
              <w:bottom w:val="single" w:color="000000" w:sz="4" w:space="0"/>
              <w:right w:val="single" w:color="000000" w:sz="4" w:space="0"/>
            </w:tcBorders>
            <w:shd w:val="clear"/>
            <w:vAlign w:val="center"/>
          </w:tcPr>
          <w:p>
            <w:pPr>
              <w:pStyle w:val="5"/>
              <w:widowControl/>
              <w:spacing w:before="0" w:beforeAutospacing="0" w:after="0" w:afterAutospacing="0"/>
              <w:ind w:left="0" w:right="0"/>
              <w:contextualSpacing w:val="0"/>
              <w:jc w:val="center"/>
              <w:rPr>
                <w:rFonts w:hAnsi="宋体" w:cs="宋体"/>
                <w:b/>
                <w:bCs/>
                <w:color w:val="auto"/>
                <w:sz w:val="21"/>
                <w:szCs w:val="21"/>
                <w:bdr w:val="none" w:color="auto" w:sz="0" w:space="0"/>
                <w:lang w:val="en-US"/>
              </w:rPr>
            </w:pPr>
            <w:r>
              <w:rPr>
                <w:rFonts w:hAnsi="宋体" w:cs="宋体"/>
                <w:b/>
                <w:bCs/>
                <w:color w:val="auto"/>
                <w:sz w:val="21"/>
                <w:szCs w:val="21"/>
                <w:bdr w:val="none" w:color="auto" w:sz="0" w:space="0"/>
              </w:rPr>
              <w:t>人员</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pStyle w:val="5"/>
              <w:widowControl/>
              <w:spacing w:before="0" w:beforeAutospacing="0" w:after="0" w:afterAutospacing="0"/>
              <w:ind w:left="0" w:right="0"/>
              <w:contextualSpacing w:val="0"/>
              <w:jc w:val="center"/>
              <w:rPr>
                <w:rFonts w:hAnsi="宋体" w:cs="宋体"/>
                <w:b/>
                <w:bCs/>
                <w:color w:val="auto"/>
                <w:sz w:val="21"/>
                <w:szCs w:val="21"/>
                <w:bdr w:val="none" w:color="auto" w:sz="0" w:space="0"/>
                <w:lang w:val="en-US"/>
              </w:rPr>
            </w:pPr>
            <w:r>
              <w:rPr>
                <w:rFonts w:hAnsi="宋体" w:cs="宋体"/>
                <w:b/>
                <w:bCs/>
                <w:color w:val="auto"/>
                <w:sz w:val="21"/>
                <w:szCs w:val="21"/>
                <w:bdr w:val="none" w:color="auto" w:sz="0" w:space="0"/>
              </w:rPr>
              <w:t>数量</w:t>
            </w:r>
          </w:p>
        </w:tc>
        <w:tc>
          <w:tcPr>
            <w:tcW w:w="520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color w:val="auto"/>
                <w:kern w:val="2"/>
                <w:sz w:val="21"/>
                <w:szCs w:val="21"/>
                <w:bdr w:val="none" w:color="auto" w:sz="0" w:space="0"/>
                <w:lang w:val="en-US" w:eastAsia="zh-CN" w:bidi="ar"/>
              </w:rPr>
              <w:t>资格要求</w:t>
            </w:r>
          </w:p>
        </w:tc>
        <w:tc>
          <w:tcPr>
            <w:tcW w:w="2051"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Cs w:val="21"/>
                <w:bdr w:val="none" w:color="auto" w:sz="0" w:space="0"/>
                <w:lang w:val="en-US"/>
              </w:rPr>
            </w:pPr>
            <w:r>
              <w:rPr>
                <w:rFonts w:hint="eastAsia" w:ascii="宋体" w:hAnsi="宋体" w:eastAsia="宋体" w:cs="宋体"/>
                <w:b/>
                <w:bCs w:val="0"/>
                <w:color w:val="auto"/>
                <w:kern w:val="2"/>
                <w:sz w:val="21"/>
                <w:szCs w:val="21"/>
                <w:bdr w:val="none" w:color="auto" w:sz="0" w:space="0"/>
                <w:lang w:val="en-US" w:eastAsia="zh-CN" w:bidi="ar"/>
              </w:rPr>
              <w:t>在岗要求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1258" w:hRule="atLeast"/>
          <w:jc w:val="center"/>
        </w:trPr>
        <w:tc>
          <w:tcPr>
            <w:tcW w:w="13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项目负责人</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1</w:t>
            </w:r>
          </w:p>
        </w:tc>
        <w:tc>
          <w:tcPr>
            <w:tcW w:w="520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高级工程师职称，具有交通运输部颁发的公路水运工程试验检测师证书（公路工程相关专业）。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近5年内（2017年1月1日至开标日，以合同签订时间为准）至少担任过1项高速公路检测项目的负责人。</w:t>
            </w:r>
          </w:p>
        </w:tc>
        <w:tc>
          <w:tcPr>
            <w:tcW w:w="2051" w:type="dxa"/>
            <w:vMerge w:val="restart"/>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val="0"/>
              <w:suppressLineNumbers w:val="0"/>
              <w:snapToGrid w:val="0"/>
              <w:spacing w:before="0" w:beforeAutospacing="0" w:after="0" w:afterAutospacing="0" w:line="312"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无在岗项目（指目前未在其他项目上任职，或虽在其他项目上任职但本项目中标后能够从该项目撤离）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930" w:hRule="atLeast"/>
          <w:jc w:val="center"/>
        </w:trPr>
        <w:tc>
          <w:tcPr>
            <w:tcW w:w="1376"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技术负责人</w:t>
            </w:r>
          </w:p>
        </w:tc>
        <w:tc>
          <w:tcPr>
            <w:tcW w:w="70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1</w:t>
            </w:r>
          </w:p>
        </w:tc>
        <w:tc>
          <w:tcPr>
            <w:tcW w:w="5209" w:type="dxa"/>
            <w:tcBorders>
              <w:top w:val="single" w:color="000000" w:sz="4" w:space="0"/>
              <w:left w:val="single" w:color="000000" w:sz="4" w:space="0"/>
              <w:bottom w:val="single" w:color="000000"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高级工程师职称，具有交通运输部颁发的公路水运工程试验检测师证书（公路工程相关专业）。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近5年内（2017年1月1日至开标日，以合同签订时间为准）至少担任过1项高速公路项目检测的技术负责人。</w:t>
            </w:r>
          </w:p>
        </w:tc>
        <w:tc>
          <w:tcPr>
            <w:tcW w:w="2051" w:type="dxa"/>
            <w:vMerge w:val="continue"/>
            <w:tcBorders>
              <w:top w:val="single" w:color="000000" w:sz="4" w:space="0"/>
              <w:left w:val="single" w:color="000000" w:sz="4" w:space="0"/>
              <w:bottom w:val="single" w:color="000000" w:sz="4" w:space="0"/>
              <w:right w:val="single" w:color="auto" w:sz="4" w:space="0"/>
            </w:tcBorders>
            <w:shd w:val="clear"/>
            <w:vAlign w:val="center"/>
          </w:tcPr>
          <w:p>
            <w:pPr>
              <w:rPr>
                <w:rFonts w:hint="default" w:ascii="Times New Roman" w:hAnsi="Times New Roman" w:cs="Times New Roman"/>
                <w:sz w:val="20"/>
                <w:szCs w:val="20"/>
              </w:rPr>
            </w:pPr>
          </w:p>
        </w:tc>
      </w:tr>
    </w:tbl>
    <w:p>
      <w:pPr>
        <w:keepNext w:val="0"/>
        <w:keepLines w:val="0"/>
        <w:widowControl w:val="0"/>
        <w:suppressLineNumbers w:val="0"/>
        <w:spacing w:before="0" w:beforeAutospacing="0" w:after="0" w:afterAutospacing="0"/>
        <w:ind w:left="0" w:right="0"/>
        <w:jc w:val="center"/>
        <w:rPr>
          <w:rFonts w:hint="eastAsia" w:ascii="等线" w:hAnsi="等线" w:eastAsia="等线" w:cs="等线"/>
          <w:b/>
          <w:bCs w:val="0"/>
          <w:sz w:val="24"/>
          <w:szCs w:val="21"/>
          <w:lang w:val="en-US"/>
        </w:rPr>
      </w:pPr>
      <w:r>
        <w:rPr>
          <w:rFonts w:hint="eastAsia" w:ascii="宋体" w:hAnsi="宋体" w:eastAsia="宋体" w:cs="宋体"/>
          <w:b/>
          <w:bCs w:val="0"/>
          <w:color w:val="auto"/>
          <w:kern w:val="2"/>
          <w:sz w:val="21"/>
          <w:szCs w:val="21"/>
          <w:lang w:val="en-US" w:eastAsia="zh-CN" w:bidi="ar"/>
        </w:rPr>
        <w:t>注：项目负责人和技术负责人的公路水运工程试验检测师证书的注册单位须与投标人单位名称一致.</w:t>
      </w:r>
    </w:p>
    <w:p>
      <w:pPr>
        <w:pStyle w:val="3"/>
        <w:widowControl/>
        <w:rPr>
          <w:rFonts w:hAnsi="宋体" w:cs="宋体"/>
          <w:b/>
          <w:bCs w:val="0"/>
          <w:sz w:val="28"/>
          <w:szCs w:val="21"/>
          <w:lang w:val="en-US"/>
        </w:rPr>
      </w:pPr>
      <w:r>
        <w:rPr>
          <w:rFonts w:hint="eastAsia" w:ascii="宋体" w:hAnsi="Times New Roman" w:eastAsia="宋体" w:cs="宋体"/>
          <w:b/>
          <w:bCs w:val="0"/>
          <w:kern w:val="2"/>
          <w:sz w:val="21"/>
          <w:szCs w:val="21"/>
          <w:lang w:val="en-US" w:eastAsia="zh-CN" w:bidi="ar"/>
        </w:rPr>
        <w:br w:type="page"/>
      </w:r>
      <w:bookmarkStart w:id="20" w:name="_Toc196474973"/>
      <w:bookmarkStart w:id="21" w:name="_Toc204055781"/>
      <w:r>
        <w:rPr>
          <w:sz w:val="20"/>
          <w:szCs w:val="21"/>
          <w:lang w:val="en-US"/>
        </w:rPr>
        <w:t xml:space="preserve"> </w:t>
      </w:r>
      <w:r>
        <w:rPr>
          <w:rFonts w:hAnsi="宋体"/>
          <w:b/>
          <w:bCs w:val="0"/>
          <w:sz w:val="28"/>
          <w:szCs w:val="21"/>
          <w:lang w:eastAsia="zh-CN"/>
        </w:rPr>
        <w:t>附件</w:t>
      </w:r>
      <w:r>
        <w:rPr>
          <w:rFonts w:hAnsi="宋体"/>
          <w:b/>
          <w:bCs w:val="0"/>
          <w:sz w:val="28"/>
          <w:szCs w:val="21"/>
          <w:lang w:val="en-US"/>
        </w:rPr>
        <w:t>2</w:t>
      </w:r>
      <w:r>
        <w:rPr>
          <w:rFonts w:hAnsi="宋体"/>
          <w:b/>
          <w:bCs w:val="0"/>
          <w:sz w:val="28"/>
          <w:szCs w:val="21"/>
          <w:lang w:eastAsia="zh-CN"/>
        </w:rPr>
        <w:t>：</w:t>
      </w:r>
      <w:r>
        <w:rPr>
          <w:rFonts w:hAnsi="宋体" w:cs="宋体"/>
          <w:b/>
          <w:bCs w:val="0"/>
          <w:sz w:val="28"/>
          <w:szCs w:val="21"/>
          <w:lang w:eastAsia="zh-CN"/>
        </w:rPr>
        <w:t>评标办法前附表</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val="0"/>
          <w:szCs w:val="21"/>
          <w:lang w:val="en-US"/>
        </w:rPr>
      </w:pPr>
      <w:r>
        <w:rPr>
          <w:rFonts w:hint="eastAsia" w:ascii="宋体" w:hAnsi="宋体" w:eastAsia="宋体" w:cs="宋体"/>
          <w:b/>
          <w:bCs w:val="0"/>
          <w:color w:val="auto"/>
          <w:kern w:val="2"/>
          <w:sz w:val="21"/>
          <w:szCs w:val="21"/>
          <w:lang w:val="en-US" w:eastAsia="zh-CN" w:bidi="ar"/>
        </w:rPr>
        <w:t xml:space="preserve"> 评标办法前附表</w:t>
      </w:r>
    </w:p>
    <w:tbl>
      <w:tblPr>
        <w:tblStyle w:val="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818"/>
        <w:gridCol w:w="1463"/>
        <w:gridCol w:w="7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blHeader/>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105" w:rightChars="-5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条款号</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条款名称</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1</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评标办法</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4"/>
                <w:bdr w:val="none" w:color="auto" w:sz="0" w:space="0"/>
                <w:lang w:val="en-US" w:eastAsia="zh-CN" w:bidi="ar"/>
              </w:rPr>
              <w:t>本次评标采用综合评估法。评标委员会对满足招标文件实质性要求的投标文件，按照本章第2.2款规定的评分标准进行打分，并按得分由高到低顺序推荐中标候选人。</w:t>
            </w:r>
            <w:r>
              <w:rPr>
                <w:rFonts w:hint="eastAsia" w:ascii="宋体" w:hAnsi="宋体" w:eastAsia="宋体" w:cs="宋体"/>
                <w:color w:val="auto"/>
                <w:kern w:val="2"/>
                <w:sz w:val="21"/>
                <w:szCs w:val="21"/>
                <w:bdr w:val="none" w:color="auto" w:sz="0" w:space="0"/>
                <w:lang w:val="en-US" w:eastAsia="zh-CN" w:bidi="ar"/>
              </w:rPr>
              <w:t>综合评分相等时，评标委员会依次按照以下优先顺序推荐中标候选人：</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（1）评标价低的投标人优先；</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（2）商务和技术得分较高的投标人优先；</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3</w:t>
            </w:r>
            <w:r>
              <w:rPr>
                <w:rFonts w:hint="eastAsia" w:ascii="宋体" w:hAnsi="宋体" w:eastAsia="宋体" w:cs="宋体"/>
                <w:szCs w:val="21"/>
                <w:bdr w:val="none" w:color="auto" w:sz="0" w:space="0"/>
              </w:rPr>
              <w:t>）投标人满足资格审查条件</w:t>
            </w:r>
            <w:r>
              <w:rPr>
                <w:rFonts w:hint="eastAsia" w:ascii="宋体" w:hAnsi="宋体" w:eastAsia="宋体" w:cs="宋体"/>
                <w:szCs w:val="21"/>
                <w:bdr w:val="none" w:color="auto" w:sz="0" w:space="0"/>
                <w:lang w:val="en-US"/>
              </w:rPr>
              <w:t>(</w:t>
            </w:r>
            <w:r>
              <w:rPr>
                <w:rFonts w:hint="eastAsia" w:ascii="宋体" w:hAnsi="宋体" w:eastAsia="宋体" w:cs="宋体"/>
                <w:szCs w:val="21"/>
                <w:bdr w:val="none" w:color="auto" w:sz="0" w:space="0"/>
              </w:rPr>
              <w:t>业绩最低要求</w:t>
            </w:r>
            <w:r>
              <w:rPr>
                <w:rFonts w:hint="eastAsia" w:ascii="宋体" w:hAnsi="宋体" w:eastAsia="宋体" w:cs="宋体"/>
                <w:szCs w:val="21"/>
                <w:bdr w:val="none" w:color="auto" w:sz="0" w:space="0"/>
                <w:lang w:val="en-US"/>
              </w:rPr>
              <w:t>)</w:t>
            </w:r>
            <w:r>
              <w:rPr>
                <w:rFonts w:hint="eastAsia" w:ascii="宋体" w:hAnsi="宋体" w:eastAsia="宋体" w:cs="宋体"/>
                <w:szCs w:val="21"/>
                <w:bdr w:val="none" w:color="auto" w:sz="0" w:space="0"/>
              </w:rPr>
              <w:t>的业绩累计金额高的优先。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2.1.1</w:t>
            </w:r>
          </w:p>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2.1.3</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形式评审与响应性评审标准</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第一个信封（商务及技术文件）评审标准：</w:t>
            </w:r>
          </w:p>
          <w:p>
            <w:pPr>
              <w:keepNext w:val="0"/>
              <w:keepLines w:val="0"/>
              <w:widowControl w:val="0"/>
              <w:numPr>
                <w:ilvl w:val="0"/>
                <w:numId w:val="1"/>
              </w:numPr>
              <w:suppressLineNumbers w:val="0"/>
              <w:spacing w:before="0" w:beforeAutospacing="0" w:after="0" w:afterAutospacing="0" w:line="264" w:lineRule="auto"/>
              <w:ind w:left="0" w:right="0" w:firstLine="0"/>
              <w:jc w:val="both"/>
              <w:rPr>
                <w:rFonts w:hint="eastAsia" w:ascii="宋体" w:hAnsi="宋体" w:eastAsia="宋体" w:cs="宋体"/>
                <w:bdr w:val="none" w:color="auto" w:sz="0" w:space="0"/>
                <w:lang w:val="en-US"/>
              </w:rPr>
            </w:pPr>
            <w:r>
              <w:rPr>
                <w:rFonts w:hint="eastAsia" w:ascii="宋体" w:hAnsi="宋体" w:eastAsia="宋体" w:cs="宋体"/>
                <w:color w:val="auto"/>
                <w:kern w:val="2"/>
                <w:sz w:val="21"/>
                <w:szCs w:val="24"/>
                <w:bdr w:val="none" w:color="auto" w:sz="0" w:space="0"/>
                <w:lang w:val="en-US" w:eastAsia="zh-CN" w:bidi="ar"/>
              </w:rPr>
              <w:t>投标文件按照招标文件规定的格式、内容填写，字迹清晰可辨。</w:t>
            </w:r>
          </w:p>
          <w:p>
            <w:pPr>
              <w:keepNext w:val="0"/>
              <w:keepLines w:val="0"/>
              <w:widowControl w:val="0"/>
              <w:numPr>
                <w:ilvl w:val="0"/>
                <w:numId w:val="2"/>
              </w:numPr>
              <w:suppressLineNumbers w:val="0"/>
              <w:spacing w:before="0" w:beforeAutospacing="0" w:after="0" w:afterAutospacing="0" w:line="264" w:lineRule="auto"/>
              <w:ind w:left="0" w:right="0" w:firstLine="0"/>
              <w:jc w:val="both"/>
              <w:rPr>
                <w:rFonts w:hint="eastAsia" w:ascii="宋体" w:hAnsi="宋体" w:eastAsia="宋体" w:cs="宋体"/>
                <w:bdr w:val="none" w:color="auto" w:sz="0" w:space="0"/>
                <w:lang w:val="en-US"/>
              </w:rPr>
            </w:pPr>
            <w:r>
              <w:rPr>
                <w:rFonts w:hint="eastAsia" w:ascii="宋体" w:hAnsi="宋体" w:eastAsia="宋体" w:cs="宋体"/>
                <w:color w:val="auto"/>
                <w:kern w:val="2"/>
                <w:sz w:val="21"/>
                <w:szCs w:val="24"/>
                <w:bdr w:val="none" w:color="auto" w:sz="0" w:space="0"/>
                <w:lang w:val="en-US" w:eastAsia="zh-CN" w:bidi="ar"/>
              </w:rPr>
              <w:t>投标函按招标文件规定填报了项目名称、补遗书编号（如有）、工作周期、项目负责人相关信息；</w:t>
            </w:r>
          </w:p>
          <w:p>
            <w:pPr>
              <w:pStyle w:val="2"/>
              <w:widowControl/>
              <w:numPr>
                <w:ilvl w:val="0"/>
                <w:numId w:val="2"/>
              </w:numPr>
              <w:ind w:left="0" w:firstLine="0"/>
              <w:rPr>
                <w:bdr w:val="none" w:color="auto" w:sz="0" w:space="0"/>
                <w:lang w:val="en-US"/>
              </w:rPr>
            </w:pPr>
            <w:r>
              <w:rPr>
                <w:rFonts w:hint="eastAsia" w:ascii="宋体" w:hAnsi="宋体" w:eastAsia="宋体" w:cs="宋体"/>
                <w:bdr w:val="none" w:color="auto" w:sz="0" w:space="0"/>
              </w:rPr>
              <w:t>投标文件组成齐全完整，内容均按规定填写。</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（2）投标文件上法定代表人或其授权代理人的签字、投标人的单位章盖章齐全，符合招标文件规定。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（3）投标人按照招标文件的规定提供了投标保证金：</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a.投标保证金金额符合招标文件规定的金额，且投标保证金有效期不少于投标有效期；</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b.</w:t>
            </w:r>
            <w:r>
              <w:rPr>
                <w:rFonts w:hint="eastAsia" w:ascii="宋体" w:hAnsi="宋体" w:eastAsia="宋体" w:cs="宋体"/>
                <w:color w:val="auto"/>
                <w:kern w:val="0"/>
                <w:sz w:val="21"/>
                <w:szCs w:val="21"/>
                <w:bdr w:val="none" w:color="auto" w:sz="0" w:space="0"/>
                <w:lang w:val="en-US" w:eastAsia="zh-CN" w:bidi="ar"/>
              </w:rPr>
              <w:t>若投标保证金采用电汇或转账形式提交，投标人应在递交投标文件截止时间之前，将投标保证金由投标人的基本账户转入招标人指定账户；</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c.</w:t>
            </w:r>
            <w:r>
              <w:rPr>
                <w:rFonts w:hint="eastAsia" w:ascii="宋体" w:hAnsi="宋体" w:eastAsia="宋体" w:cs="宋体"/>
                <w:color w:val="auto"/>
                <w:kern w:val="0"/>
                <w:sz w:val="21"/>
                <w:szCs w:val="21"/>
                <w:bdr w:val="none" w:color="auto" w:sz="0" w:space="0"/>
                <w:lang w:val="en-US" w:eastAsia="zh-CN" w:bidi="ar"/>
              </w:rPr>
              <w:t>若投标保证金采用银行保函形式提交，银行保函的格式、开具保函的银行均满足招标文件要求，且在递交投标文件截止时间之前向招标人提交了银行保函原件。</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（4）投标人法定代表人授权委托代理人签署投标文件的，须提交授权委托书；符合招标文件规定。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（5）投标人法定代表人若亲自签署投标文件的，提供了法定代表人身份证明；符合招标文件规定。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（6）投标人未以联合体形式投标。</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kern w:val="0"/>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（7）</w:t>
            </w:r>
            <w:r>
              <w:rPr>
                <w:rFonts w:hint="eastAsia" w:ascii="宋体" w:hAnsi="宋体" w:eastAsia="宋体" w:cs="宋体"/>
                <w:color w:val="auto"/>
                <w:kern w:val="0"/>
                <w:sz w:val="21"/>
                <w:szCs w:val="21"/>
                <w:bdr w:val="none" w:color="auto" w:sz="0" w:space="0"/>
                <w:lang w:val="en-US" w:eastAsia="zh-CN" w:bidi="ar"/>
              </w:rPr>
              <w:t>同一投标人未提交两个以上不同的投标文件。</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（8）投标文件中未出现有关投标报价的内容。</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（9）</w:t>
            </w:r>
            <w:r>
              <w:rPr>
                <w:rFonts w:hint="eastAsia" w:ascii="宋体" w:hAnsi="宋体" w:eastAsia="宋体" w:cs="宋体"/>
                <w:color w:val="auto"/>
                <w:kern w:val="0"/>
                <w:sz w:val="21"/>
                <w:szCs w:val="21"/>
                <w:bdr w:val="none" w:color="auto" w:sz="0" w:space="0"/>
                <w:lang w:val="en-US" w:eastAsia="zh-CN" w:bidi="ar"/>
              </w:rPr>
              <w:t>投标文件载明的招标项目完成期限符合招标文件规定</w:t>
            </w:r>
            <w:r>
              <w:rPr>
                <w:rFonts w:hint="eastAsia" w:ascii="宋体" w:hAnsi="宋体" w:eastAsia="宋体" w:cs="宋体"/>
                <w:color w:val="auto"/>
                <w:kern w:val="2"/>
                <w:sz w:val="21"/>
                <w:szCs w:val="21"/>
                <w:bdr w:val="none" w:color="auto" w:sz="0" w:space="0"/>
                <w:lang w:val="en-US" w:eastAsia="zh-CN" w:bidi="ar"/>
              </w:rPr>
              <w:t>。</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（10）投</w:t>
            </w:r>
            <w:r>
              <w:rPr>
                <w:rFonts w:hint="eastAsia" w:ascii="宋体" w:hAnsi="宋体" w:eastAsia="宋体" w:cs="宋体"/>
                <w:color w:val="auto"/>
                <w:kern w:val="0"/>
                <w:sz w:val="21"/>
                <w:szCs w:val="21"/>
                <w:bdr w:val="none" w:color="auto" w:sz="0" w:space="0"/>
                <w:lang w:val="en-US" w:eastAsia="zh-CN" w:bidi="ar"/>
              </w:rPr>
              <w:t>标文件对招标文件的实质性要求和条件作出响应</w:t>
            </w:r>
            <w:r>
              <w:rPr>
                <w:rFonts w:hint="eastAsia" w:ascii="宋体" w:hAnsi="宋体" w:eastAsia="宋体" w:cs="宋体"/>
                <w:color w:val="auto"/>
                <w:kern w:val="2"/>
                <w:sz w:val="21"/>
                <w:szCs w:val="21"/>
                <w:bdr w:val="none" w:color="auto" w:sz="0" w:space="0"/>
                <w:lang w:val="en-US" w:eastAsia="zh-CN" w:bidi="ar"/>
              </w:rPr>
              <w:t>。</w:t>
            </w:r>
          </w:p>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 xml:space="preserve">（11）权利义务符合招标文件规定： </w:t>
            </w:r>
          </w:p>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a．投标人应接受招标文件规定的风险划分原则，未提出新的风险划分办法；</w:t>
            </w:r>
          </w:p>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b．投标人未增加委托人的责任范围，或减少投标人义务；</w:t>
            </w:r>
          </w:p>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c．投标人未提出不同的支付办法；</w:t>
            </w:r>
          </w:p>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d．投标人对合同纠纷、事故处理办法未提出异议；</w:t>
            </w:r>
          </w:p>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e．投标人在投标活动中无欺诈行为；</w:t>
            </w:r>
          </w:p>
          <w:p>
            <w:pPr>
              <w:keepNext w:val="0"/>
              <w:keepLines w:val="0"/>
              <w:widowControl w:val="0"/>
              <w:suppressLineNumbers w:val="0"/>
              <w:spacing w:before="0" w:beforeAutospacing="0" w:after="0" w:afterAutospacing="0"/>
              <w:ind w:left="0" w:right="0"/>
              <w:jc w:val="left"/>
              <w:rPr>
                <w:rFonts w:hint="eastAsia" w:ascii="宋体" w:hAnsi="宋体" w:eastAsia="宋体" w:cs="宋体"/>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f．投标人未对合同条款有重要保留。</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第二个信封（报价文件）评审标准：</w:t>
            </w:r>
          </w:p>
          <w:p>
            <w:pPr>
              <w:keepNext w:val="0"/>
              <w:keepLines w:val="0"/>
              <w:widowControl w:val="0"/>
              <w:suppressLineNumbers w:val="0"/>
              <w:spacing w:before="0" w:beforeAutospacing="0" w:after="0" w:afterAutospacing="0"/>
              <w:ind w:left="0" w:right="0"/>
              <w:jc w:val="left"/>
              <w:textAlignment w:val="baseline"/>
              <w:rPr>
                <w:rFonts w:hint="eastAsia" w:ascii="宋体" w:hAnsi="宋体" w:eastAsia="宋体" w:cs="宋体"/>
                <w:bCs/>
                <w:sz w:val="20"/>
                <w:szCs w:val="24"/>
                <w:bdr w:val="none" w:color="auto" w:sz="0" w:space="0"/>
                <w:vertAlign w:val="baseline"/>
                <w:lang w:val="en-US"/>
              </w:rPr>
            </w:pPr>
            <w:r>
              <w:rPr>
                <w:rFonts w:hint="eastAsia" w:ascii="宋体" w:hAnsi="宋体" w:eastAsia="宋体" w:cs="宋体"/>
                <w:color w:val="auto"/>
                <w:kern w:val="2"/>
                <w:sz w:val="21"/>
                <w:szCs w:val="21"/>
                <w:bdr w:val="none" w:color="auto" w:sz="0" w:space="0"/>
                <w:vertAlign w:val="baseline"/>
                <w:lang w:val="en-US" w:eastAsia="zh-CN" w:bidi="ar"/>
              </w:rPr>
              <w:t>（1）</w:t>
            </w:r>
            <w:r>
              <w:rPr>
                <w:rFonts w:hint="eastAsia" w:ascii="宋体" w:hAnsi="宋体" w:eastAsia="宋体" w:cs="宋体"/>
                <w:bCs/>
                <w:color w:val="auto"/>
                <w:kern w:val="2"/>
                <w:sz w:val="21"/>
                <w:szCs w:val="24"/>
                <w:bdr w:val="none" w:color="auto" w:sz="0" w:space="0"/>
                <w:vertAlign w:val="baseline"/>
                <w:lang w:val="en-US" w:eastAsia="zh-CN" w:bidi="ar"/>
              </w:rPr>
              <w:t>投标文件按照招标文件规定的格式、内容填写，字迹清晰可辨。</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宋体"/>
                <w:bCs/>
                <w:sz w:val="20"/>
                <w:szCs w:val="24"/>
                <w:bdr w:val="none" w:color="auto" w:sz="0" w:space="0"/>
                <w:vertAlign w:val="baseline"/>
                <w:lang w:val="en-US"/>
              </w:rPr>
            </w:pPr>
            <w:r>
              <w:rPr>
                <w:rFonts w:hint="eastAsia" w:ascii="宋体" w:hAnsi="宋体" w:eastAsia="宋体" w:cs="宋体"/>
                <w:bCs/>
                <w:color w:val="auto"/>
                <w:kern w:val="2"/>
                <w:sz w:val="21"/>
                <w:szCs w:val="24"/>
                <w:bdr w:val="none" w:color="auto" w:sz="0" w:space="0"/>
                <w:vertAlign w:val="baseline"/>
                <w:lang w:val="en-US" w:eastAsia="zh-CN" w:bidi="ar"/>
              </w:rPr>
              <w:t>a．投标函按招标文件规定填报了项目名称、标段号、补遗书编号（如有）</w:t>
            </w:r>
            <w:r>
              <w:rPr>
                <w:rFonts w:hint="eastAsia" w:ascii="宋体" w:hAnsi="宋体" w:eastAsia="宋体" w:cs="宋体"/>
                <w:color w:val="auto"/>
                <w:kern w:val="2"/>
                <w:sz w:val="21"/>
                <w:szCs w:val="24"/>
                <w:bdr w:val="none" w:color="auto" w:sz="0" w:space="0"/>
                <w:vertAlign w:val="baseline"/>
                <w:lang w:val="en-US" w:eastAsia="zh-CN" w:bidi="ar"/>
              </w:rPr>
              <w:t>、</w:t>
            </w:r>
            <w:r>
              <w:rPr>
                <w:rFonts w:hint="eastAsia" w:ascii="宋体" w:hAnsi="宋体" w:eastAsia="宋体" w:cs="宋体"/>
                <w:bCs/>
                <w:color w:val="auto"/>
                <w:kern w:val="2"/>
                <w:sz w:val="21"/>
                <w:szCs w:val="24"/>
                <w:bdr w:val="none" w:color="auto" w:sz="0" w:space="0"/>
                <w:vertAlign w:val="baseline"/>
                <w:lang w:val="en-US" w:eastAsia="zh-CN" w:bidi="ar"/>
              </w:rPr>
              <w:t>投标总报价</w:t>
            </w:r>
            <w:r>
              <w:rPr>
                <w:rFonts w:hint="eastAsia" w:ascii="宋体" w:hAnsi="宋体" w:eastAsia="宋体" w:cs="宋体"/>
                <w:color w:val="auto"/>
                <w:kern w:val="2"/>
                <w:sz w:val="21"/>
                <w:szCs w:val="24"/>
                <w:bdr w:val="none" w:color="auto" w:sz="0" w:space="0"/>
                <w:vertAlign w:val="baseline"/>
                <w:lang w:val="en-US" w:eastAsia="zh-CN" w:bidi="ar"/>
              </w:rPr>
              <w:t>（包括大写金额和小写金额）</w:t>
            </w:r>
            <w:r>
              <w:rPr>
                <w:rFonts w:hint="eastAsia" w:ascii="宋体" w:hAnsi="宋体" w:eastAsia="宋体" w:cs="宋体"/>
                <w:bCs/>
                <w:color w:val="auto"/>
                <w:kern w:val="2"/>
                <w:sz w:val="21"/>
                <w:szCs w:val="24"/>
                <w:bdr w:val="none" w:color="auto" w:sz="0" w:space="0"/>
                <w:vertAlign w:val="baseline"/>
                <w:lang w:val="en-US" w:eastAsia="zh-CN" w:bidi="ar"/>
              </w:rPr>
              <w:t>等；</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宋体"/>
                <w:bCs/>
                <w:bdr w:val="none" w:color="auto" w:sz="0" w:space="0"/>
                <w:vertAlign w:val="baseline"/>
                <w:lang w:val="en-US"/>
              </w:rPr>
            </w:pPr>
            <w:r>
              <w:rPr>
                <w:rFonts w:hint="eastAsia" w:ascii="宋体" w:hAnsi="宋体" w:eastAsia="宋体" w:cs="宋体"/>
                <w:bCs/>
                <w:color w:val="auto"/>
                <w:kern w:val="2"/>
                <w:sz w:val="21"/>
                <w:szCs w:val="24"/>
                <w:bdr w:val="none" w:color="auto" w:sz="0" w:space="0"/>
                <w:vertAlign w:val="baseline"/>
                <w:lang w:val="en-US" w:eastAsia="zh-CN" w:bidi="ar"/>
              </w:rPr>
              <w:t>b．已标价工程量清单说明文字与招标文件规定一致，未进行实质性修改和删减。</w:t>
            </w:r>
          </w:p>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宋体"/>
                <w:szCs w:val="21"/>
                <w:bdr w:val="none" w:color="auto" w:sz="0" w:space="0"/>
                <w:vertAlign w:val="baseline"/>
                <w:lang w:val="en-US"/>
              </w:rPr>
            </w:pPr>
            <w:r>
              <w:rPr>
                <w:rFonts w:hint="eastAsia" w:ascii="宋体" w:hAnsi="宋体" w:eastAsia="宋体" w:cs="宋体"/>
                <w:bCs/>
                <w:color w:val="auto"/>
                <w:kern w:val="2"/>
                <w:sz w:val="21"/>
                <w:szCs w:val="24"/>
                <w:bdr w:val="none" w:color="auto" w:sz="0" w:space="0"/>
                <w:vertAlign w:val="baseline"/>
                <w:lang w:val="en-US" w:eastAsia="zh-CN" w:bidi="ar"/>
              </w:rPr>
              <w:t>c.投标文件组成齐全完整，内容均按规定填写。</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（2）投标文件上法定代表人或其授权代理人的签字、投标人的单位章盖章齐全，符合招标文件规定。</w:t>
            </w:r>
          </w:p>
          <w:p>
            <w:pPr>
              <w:keepNext w:val="0"/>
              <w:keepLines w:val="0"/>
              <w:widowControl w:val="0"/>
              <w:suppressLineNumbers w:val="0"/>
              <w:spacing w:before="0" w:beforeAutospacing="0" w:after="0" w:afterAutospacing="0" w:line="264" w:lineRule="auto"/>
              <w:ind w:left="0" w:right="0"/>
              <w:jc w:val="both"/>
              <w:rPr>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（3）投标人填写完毕的工程量清单未对工程量清单电子文件中的数据、格式和运算定义进行修改。</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（4）投标报价未超过招标文件设定的最高投标限价。</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（5）投标报价的大写金额能够确定具体数值。</w:t>
            </w:r>
          </w:p>
          <w:p>
            <w:pPr>
              <w:keepNext w:val="0"/>
              <w:keepLines w:val="0"/>
              <w:widowControl w:val="0"/>
              <w:suppressLineNumbers w:val="0"/>
              <w:spacing w:before="0" w:beforeAutospacing="0" w:after="0" w:afterAutospacing="0" w:line="264" w:lineRule="auto"/>
              <w:ind w:left="0" w:right="0"/>
              <w:jc w:val="left"/>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6</w:t>
            </w:r>
            <w:r>
              <w:rPr>
                <w:rFonts w:hint="eastAsia" w:ascii="宋体" w:hAnsi="宋体" w:eastAsia="宋体" w:cs="宋体"/>
                <w:szCs w:val="21"/>
                <w:bdr w:val="none" w:color="auto" w:sz="0" w:space="0"/>
              </w:rPr>
              <w:t>）同一投标人未提交两个以上不同的投标报价。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694"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2.1.2</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资格评审标准</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（1）投标人具备有效的营业执照(或事业单位法人证书)、资质证书和、检验检测机构资质认定证书和基本账户开户许可证（或基本存款账户信息）；</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（2）投标人的资质等级符合招标文件规定；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（3）投标人的业绩符合招标文件的规定；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（4）投标人的信誉符合招标文件规定；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（5）投标人的主要人员资格符合招标文件规定；</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zh-TW" w:eastAsia="zh-TW" w:bidi="zh-TW"/>
              </w:rPr>
            </w:pP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6</w:t>
            </w:r>
            <w:r>
              <w:rPr>
                <w:rFonts w:hint="eastAsia" w:ascii="宋体" w:hAnsi="宋体" w:eastAsia="宋体" w:cs="宋体"/>
                <w:szCs w:val="21"/>
                <w:bdr w:val="none" w:color="auto" w:sz="0" w:space="0"/>
              </w:rPr>
              <w:t>）投标人不存在第二章“投标人须知”第</w:t>
            </w:r>
            <w:r>
              <w:rPr>
                <w:rFonts w:hint="eastAsia" w:ascii="宋体" w:hAnsi="宋体" w:eastAsia="宋体" w:cs="宋体"/>
                <w:szCs w:val="21"/>
                <w:bdr w:val="none" w:color="auto" w:sz="0" w:space="0"/>
                <w:lang w:val="en-US"/>
              </w:rPr>
              <w:t>1.4.3</w:t>
            </w:r>
            <w:r>
              <w:rPr>
                <w:rFonts w:hint="eastAsia" w:ascii="宋体" w:hAnsi="宋体" w:eastAsia="宋体" w:cs="宋体"/>
                <w:szCs w:val="21"/>
                <w:bdr w:val="none" w:color="auto" w:sz="0" w:space="0"/>
              </w:rPr>
              <w:t>项或</w:t>
            </w:r>
            <w:r>
              <w:rPr>
                <w:rFonts w:hint="eastAsia" w:ascii="宋体" w:hAnsi="宋体" w:eastAsia="宋体" w:cs="宋体"/>
                <w:szCs w:val="21"/>
                <w:bdr w:val="none" w:color="auto" w:sz="0" w:space="0"/>
                <w:lang w:val="en-US"/>
              </w:rPr>
              <w:t>1.4.4</w:t>
            </w:r>
            <w:r>
              <w:rPr>
                <w:rFonts w:hint="eastAsia" w:ascii="宋体" w:hAnsi="宋体" w:eastAsia="宋体" w:cs="宋体"/>
                <w:szCs w:val="21"/>
                <w:bdr w:val="none" w:color="auto" w:sz="0" w:space="0"/>
              </w:rPr>
              <w:t>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978"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2.2.1</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分值构成（总分</w:t>
            </w:r>
            <w:r>
              <w:rPr>
                <w:rFonts w:hint="eastAsia" w:ascii="宋体" w:hAnsi="宋体" w:eastAsia="宋体" w:cs="宋体"/>
                <w:szCs w:val="21"/>
                <w:bdr w:val="none" w:color="auto" w:sz="0" w:space="0"/>
                <w:lang w:val="en-US"/>
              </w:rPr>
              <w:t>100</w:t>
            </w:r>
            <w:r>
              <w:rPr>
                <w:rFonts w:hint="eastAsia" w:ascii="宋体" w:hAnsi="宋体" w:eastAsia="宋体" w:cs="宋体"/>
                <w:szCs w:val="21"/>
                <w:bdr w:val="none" w:color="auto" w:sz="0" w:space="0"/>
              </w:rPr>
              <w:t>分）</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color w:val="auto"/>
                <w:kern w:val="2"/>
                <w:sz w:val="21"/>
                <w:szCs w:val="21"/>
                <w:bdr w:val="none" w:color="auto" w:sz="0" w:space="0"/>
                <w:lang w:val="en-US" w:eastAsia="zh-CN" w:bidi="ar"/>
              </w:rPr>
              <w:t>第一个信封（商务及技术文件）评分分值构成；</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技术建议书： 40分</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主要人员： 20分</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其他（业绩）： 25分</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其他（信誉）： 5分</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b/>
                <w:bCs/>
                <w:szCs w:val="21"/>
                <w:bdr w:val="none" w:color="auto" w:sz="0" w:space="0"/>
                <w:lang w:val="en-US"/>
              </w:rPr>
            </w:pPr>
            <w:r>
              <w:rPr>
                <w:rFonts w:hint="eastAsia" w:ascii="宋体" w:hAnsi="宋体" w:eastAsia="宋体" w:cs="宋体"/>
                <w:b/>
                <w:bCs/>
                <w:color w:val="auto"/>
                <w:kern w:val="2"/>
                <w:sz w:val="21"/>
                <w:szCs w:val="21"/>
                <w:bdr w:val="none" w:color="auto" w:sz="0" w:space="0"/>
                <w:lang w:val="en-US" w:eastAsia="zh-CN" w:bidi="ar"/>
              </w:rPr>
              <w:t>第二个信封（报价文件）评分分值构成：</w:t>
            </w:r>
          </w:p>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 xml:space="preserve">评标价： </w:t>
            </w:r>
            <w:r>
              <w:rPr>
                <w:rFonts w:hint="eastAsia" w:ascii="宋体" w:hAnsi="宋体" w:eastAsia="宋体" w:cs="宋体"/>
                <w:szCs w:val="21"/>
                <w:bdr w:val="none" w:color="auto" w:sz="0" w:space="0"/>
                <w:lang w:val="en-US"/>
              </w:rPr>
              <w:t>10</w:t>
            </w:r>
            <w:r>
              <w:rPr>
                <w:rFonts w:hint="eastAsia" w:ascii="宋体" w:hAnsi="宋体" w:eastAsia="宋体" w:cs="宋体"/>
                <w:szCs w:val="21"/>
                <w:bdr w:val="none" w:color="auto" w:sz="0" w:space="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2.2.2</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评标基准价计算方法</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both"/>
              <w:textAlignment w:val="baseline"/>
              <w:rPr>
                <w:rFonts w:hint="eastAsia" w:ascii="宋体" w:hAnsi="宋体" w:eastAsia="宋体" w:cs="宋体"/>
                <w:sz w:val="20"/>
                <w:szCs w:val="24"/>
                <w:bdr w:val="none" w:color="auto" w:sz="0" w:space="0"/>
                <w:vertAlign w:val="baseline"/>
                <w:lang w:val="en-US"/>
              </w:rPr>
            </w:pPr>
            <w:r>
              <w:rPr>
                <w:rFonts w:hint="eastAsia" w:ascii="宋体" w:hAnsi="宋体" w:eastAsia="宋体" w:cs="宋体"/>
                <w:color w:val="auto"/>
                <w:kern w:val="2"/>
                <w:sz w:val="21"/>
                <w:szCs w:val="24"/>
                <w:bdr w:val="none" w:color="auto" w:sz="0" w:space="0"/>
                <w:vertAlign w:val="baseline"/>
                <w:lang w:val="en-US" w:eastAsia="zh-CN" w:bidi="ar"/>
              </w:rPr>
              <w:t xml:space="preserve">评标基准价的计算： </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 w:val="20"/>
                <w:szCs w:val="24"/>
                <w:bdr w:val="none" w:color="auto" w:sz="0" w:space="0"/>
                <w:vertAlign w:val="baseline"/>
                <w:lang w:val="en-US"/>
              </w:rPr>
            </w:pPr>
            <w:r>
              <w:rPr>
                <w:rFonts w:hint="eastAsia" w:ascii="宋体" w:hAnsi="宋体" w:eastAsia="宋体" w:cs="宋体"/>
                <w:color w:val="auto"/>
                <w:kern w:val="2"/>
                <w:sz w:val="21"/>
                <w:szCs w:val="24"/>
                <w:bdr w:val="none" w:color="auto" w:sz="0" w:space="0"/>
                <w:vertAlign w:val="baseline"/>
                <w:lang w:val="en-US" w:eastAsia="zh-CN" w:bidi="ar"/>
              </w:rPr>
              <w:t>所有通过第一个信封评审的投标文件，由评标委员会开启第二个信封，并当场计算并宣布评标基准价。</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 w:val="20"/>
                <w:szCs w:val="24"/>
                <w:bdr w:val="none" w:color="auto" w:sz="0" w:space="0"/>
                <w:vertAlign w:val="baseline"/>
                <w:lang w:val="en-US"/>
              </w:rPr>
            </w:pPr>
            <w:r>
              <w:rPr>
                <w:rFonts w:hint="eastAsia" w:ascii="宋体" w:hAnsi="宋体" w:eastAsia="宋体" w:cs="宋体"/>
                <w:color w:val="auto"/>
                <w:kern w:val="2"/>
                <w:sz w:val="21"/>
                <w:szCs w:val="24"/>
                <w:bdr w:val="none" w:color="auto" w:sz="0" w:space="0"/>
                <w:vertAlign w:val="baseline"/>
                <w:lang w:val="en-US" w:eastAsia="zh-CN" w:bidi="ar"/>
              </w:rPr>
              <w:t>(1)评标价的确定：</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 w:val="20"/>
                <w:szCs w:val="24"/>
                <w:bdr w:val="none" w:color="auto" w:sz="0" w:space="0"/>
                <w:vertAlign w:val="baseline"/>
                <w:lang w:val="en-US"/>
              </w:rPr>
            </w:pPr>
            <w:r>
              <w:rPr>
                <w:rFonts w:hint="eastAsia" w:ascii="宋体" w:hAnsi="宋体" w:eastAsia="宋体" w:cs="宋体"/>
                <w:color w:val="auto"/>
                <w:kern w:val="2"/>
                <w:sz w:val="21"/>
                <w:szCs w:val="24"/>
                <w:bdr w:val="none" w:color="auto" w:sz="0" w:space="0"/>
                <w:vertAlign w:val="baseline"/>
                <w:lang w:val="en-US" w:eastAsia="zh-CN" w:bidi="ar"/>
              </w:rPr>
              <w:t>评标价=投标函文字报价</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 w:val="20"/>
                <w:szCs w:val="24"/>
                <w:bdr w:val="none" w:color="auto" w:sz="0" w:space="0"/>
                <w:vertAlign w:val="baseline"/>
                <w:lang w:val="en-US"/>
              </w:rPr>
            </w:pPr>
            <w:r>
              <w:rPr>
                <w:rFonts w:hint="eastAsia" w:ascii="宋体" w:hAnsi="宋体" w:eastAsia="宋体" w:cs="宋体"/>
                <w:color w:val="auto"/>
                <w:kern w:val="2"/>
                <w:sz w:val="21"/>
                <w:szCs w:val="24"/>
                <w:bdr w:val="none" w:color="auto" w:sz="0" w:space="0"/>
                <w:vertAlign w:val="baseline"/>
                <w:lang w:val="en-US" w:eastAsia="zh-CN" w:bidi="ar"/>
              </w:rPr>
              <w:t>(2)评标价平均值的计算：</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 w:val="20"/>
                <w:szCs w:val="24"/>
                <w:bdr w:val="none" w:color="auto" w:sz="0" w:space="0"/>
                <w:vertAlign w:val="baseline"/>
                <w:lang w:val="en-US"/>
              </w:rPr>
            </w:pPr>
            <w:r>
              <w:rPr>
                <w:rStyle w:val="17"/>
                <w:rFonts w:hint="eastAsia" w:ascii="宋体" w:hAnsi="宋体" w:eastAsia="宋体" w:cs="宋体"/>
                <w:color w:val="auto"/>
                <w:kern w:val="2"/>
                <w:sz w:val="21"/>
                <w:szCs w:val="21"/>
                <w:bdr w:val="none" w:color="auto" w:sz="0" w:space="0"/>
                <w:vertAlign w:val="baseline"/>
                <w:lang w:val="en-US" w:eastAsia="zh-CN" w:bidi="ar"/>
              </w:rPr>
              <w:t>除按第二章“投标人须知”第5.2.4项规定开标现场被宣布为不进入评标基准价计算的投标报价之外，</w:t>
            </w:r>
            <w:r>
              <w:rPr>
                <w:rFonts w:hint="eastAsia" w:ascii="宋体" w:hAnsi="宋体" w:eastAsia="宋体" w:cs="宋体"/>
                <w:color w:val="auto"/>
                <w:kern w:val="2"/>
                <w:sz w:val="21"/>
                <w:szCs w:val="21"/>
                <w:bdr w:val="none" w:color="auto" w:sz="0" w:space="0"/>
                <w:vertAlign w:val="baseline"/>
                <w:lang w:val="en-US" w:eastAsia="zh-CN" w:bidi="ar"/>
              </w:rPr>
              <w:t>所有投标人评标价的算术平均值即为评标价平均值。</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bdr w:val="none" w:color="auto" w:sz="0" w:space="0"/>
                <w:vertAlign w:val="baseline"/>
                <w:lang w:val="en-US"/>
              </w:rPr>
            </w:pPr>
            <w:r>
              <w:rPr>
                <w:rFonts w:hint="eastAsia" w:ascii="宋体" w:hAnsi="宋体" w:eastAsia="宋体" w:cs="宋体"/>
                <w:color w:val="auto"/>
                <w:kern w:val="2"/>
                <w:sz w:val="21"/>
                <w:szCs w:val="24"/>
                <w:bdr w:val="none" w:color="auto" w:sz="0" w:space="0"/>
                <w:vertAlign w:val="baseline"/>
                <w:lang w:val="en-US" w:eastAsia="zh-CN" w:bidi="ar"/>
              </w:rPr>
              <w:t>(3)评标基准价的确定：</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Cs w:val="21"/>
                <w:bdr w:val="none" w:color="auto" w:sz="0" w:space="0"/>
                <w:vertAlign w:val="baseline"/>
                <w:lang w:val="en-US"/>
              </w:rPr>
            </w:pPr>
            <w:r>
              <w:rPr>
                <w:rStyle w:val="17"/>
                <w:rFonts w:hint="eastAsia" w:ascii="宋体" w:hAnsi="宋体" w:eastAsia="宋体" w:cs="宋体"/>
                <w:color w:val="auto"/>
                <w:kern w:val="2"/>
                <w:sz w:val="21"/>
                <w:szCs w:val="21"/>
                <w:bdr w:val="none" w:color="auto" w:sz="0" w:space="0"/>
                <w:vertAlign w:val="baseline"/>
                <w:lang w:val="en-US" w:eastAsia="zh-CN" w:bidi="ar"/>
              </w:rPr>
              <w:t>将评标价平均值直接作为评标基准价（评标基准价保留小数点后两位，小数点后第三位四舍五入）。</w:t>
            </w:r>
          </w:p>
          <w:p>
            <w:pPr>
              <w:keepNext w:val="0"/>
              <w:keepLines w:val="0"/>
              <w:widowControl w:val="0"/>
              <w:suppressLineNumbers w:val="0"/>
              <w:spacing w:before="0" w:beforeAutospacing="0" w:after="0" w:afterAutospacing="0"/>
              <w:ind w:left="0" w:right="0" w:firstLine="420" w:firstLineChars="200"/>
              <w:jc w:val="both"/>
              <w:textAlignment w:val="baseline"/>
              <w:rPr>
                <w:rFonts w:hint="eastAsia" w:ascii="宋体" w:hAnsi="宋体" w:eastAsia="宋体" w:cs="宋体"/>
                <w:szCs w:val="21"/>
                <w:bdr w:val="none" w:color="auto" w:sz="0" w:space="0"/>
                <w:vertAlign w:val="baseline"/>
                <w:lang w:val="en-US"/>
              </w:rPr>
            </w:pPr>
            <w:r>
              <w:rPr>
                <w:rStyle w:val="17"/>
                <w:rFonts w:hint="eastAsia" w:ascii="Times New Roman" w:hAnsi="Times New Roman" w:eastAsia="宋体" w:cs="宋体"/>
                <w:szCs w:val="21"/>
                <w:bdr w:val="none" w:color="auto" w:sz="0" w:space="0"/>
                <w:vertAlign w:val="baseline"/>
              </w:rPr>
              <w:t>在评标过程中，评标委员会应对招标人计算的评标基准价进行复核，存在计算错误的应予以修正并在评标报告中作出说明。除此之外，评标基准价在整个评标期间保持不变，不随任何因素发生变化。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2.2.3</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leftChars="-53" w:right="-62" w:hanging="111" w:hangingChars="53"/>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评标价的偏差率计算公式</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113" w:right="113" w:firstLine="210" w:firstLineChars="100"/>
              <w:jc w:val="both"/>
              <w:rPr>
                <w:rFonts w:hint="eastAsia" w:ascii="宋体" w:hAnsi="宋体" w:eastAsia="宋体" w:cs="宋体"/>
                <w:sz w:val="34"/>
                <w:szCs w:val="21"/>
                <w:bdr w:val="none" w:color="auto" w:sz="0" w:space="0"/>
                <w:lang w:val="en-US"/>
              </w:rPr>
            </w:pPr>
            <w:r>
              <w:rPr>
                <w:rFonts w:hint="eastAsia" w:ascii="宋体" w:hAnsi="宋体" w:eastAsia="宋体" w:cs="宋体"/>
                <w:szCs w:val="21"/>
                <w:bdr w:val="none" w:color="auto" w:sz="0" w:space="0"/>
              </w:rPr>
              <w:t>偏差率</w:t>
            </w:r>
            <w:r>
              <w:rPr>
                <w:rFonts w:hint="eastAsia" w:ascii="宋体" w:hAnsi="宋体" w:eastAsia="宋体" w:cs="宋体"/>
                <w:szCs w:val="21"/>
                <w:bdr w:val="none" w:color="auto" w:sz="0" w:space="0"/>
                <w:lang w:val="en-US"/>
              </w:rPr>
              <w:t>=100%</w:t>
            </w: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w:t>
            </w:r>
            <w:r>
              <w:rPr>
                <w:rFonts w:hint="eastAsia" w:ascii="宋体" w:hAnsi="宋体" w:eastAsia="宋体" w:cs="宋体"/>
                <w:szCs w:val="21"/>
                <w:bdr w:val="none" w:color="auto" w:sz="0" w:space="0"/>
              </w:rPr>
              <w:t>投标人评标价</w:t>
            </w:r>
            <w:r>
              <w:rPr>
                <w:rFonts w:hint="eastAsia" w:ascii="宋体" w:hAnsi="宋体" w:eastAsia="宋体" w:cs="宋体"/>
                <w:szCs w:val="21"/>
                <w:bdr w:val="none" w:color="auto" w:sz="0" w:space="0"/>
                <w:lang w:val="en-US"/>
              </w:rPr>
              <w:t>-</w:t>
            </w:r>
            <w:r>
              <w:rPr>
                <w:rFonts w:hint="eastAsia" w:ascii="宋体" w:hAnsi="宋体" w:eastAsia="宋体" w:cs="宋体"/>
                <w:szCs w:val="21"/>
                <w:bdr w:val="none" w:color="auto" w:sz="0" w:space="0"/>
              </w:rPr>
              <w:t>评标基准价</w:t>
            </w:r>
            <w:r>
              <w:rPr>
                <w:rFonts w:hint="eastAsia" w:ascii="宋体" w:hAnsi="宋体" w:eastAsia="宋体" w:cs="宋体"/>
                <w:szCs w:val="21"/>
                <w:bdr w:val="none" w:color="auto" w:sz="0" w:space="0"/>
                <w:lang w:val="en-US"/>
              </w:rPr>
              <w:t>)/</w:t>
            </w:r>
            <w:r>
              <w:rPr>
                <w:rFonts w:hint="eastAsia" w:ascii="宋体" w:hAnsi="宋体" w:eastAsia="宋体" w:cs="宋体"/>
                <w:szCs w:val="21"/>
                <w:bdr w:val="none" w:color="auto" w:sz="0" w:space="0"/>
              </w:rPr>
              <w:t>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2105" w:hRule="atLeast"/>
        </w:trPr>
        <w:tc>
          <w:tcPr>
            <w:tcW w:w="432"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3.6.1</w:t>
            </w:r>
          </w:p>
        </w:tc>
        <w:tc>
          <w:tcPr>
            <w:tcW w:w="773"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360" w:lineRule="auto"/>
              <w:ind w:left="113" w:right="113"/>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信息查询</w:t>
            </w:r>
          </w:p>
        </w:tc>
        <w:tc>
          <w:tcPr>
            <w:tcW w:w="3795" w:type="pct"/>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adjustRightInd w:val="0"/>
              <w:snapToGrid w:val="0"/>
              <w:spacing w:before="0" w:beforeAutospacing="0" w:after="0" w:afterAutospacing="0" w:line="300" w:lineRule="exact"/>
              <w:ind w:left="0" w:right="0"/>
              <w:jc w:val="both"/>
              <w:rPr>
                <w:rFonts w:hint="eastAsia" w:ascii="宋体" w:hAnsi="宋体" w:eastAsia="宋体" w:cs="宋体"/>
                <w:bdr w:val="none" w:color="auto" w:sz="0" w:space="0"/>
                <w:lang w:val="en-US"/>
              </w:rPr>
            </w:pPr>
            <w:r>
              <w:rPr>
                <w:rFonts w:hint="eastAsia" w:ascii="宋体" w:hAnsi="宋体" w:eastAsia="宋体" w:cs="宋体"/>
                <w:color w:val="auto"/>
                <w:kern w:val="2"/>
                <w:sz w:val="21"/>
                <w:szCs w:val="24"/>
                <w:bdr w:val="none" w:color="auto" w:sz="0" w:space="0"/>
                <w:lang w:val="en-US" w:eastAsia="zh-CN" w:bidi="ar"/>
              </w:rPr>
              <w:t>在评标过程中，评标委员会应对以下信息进行查询：</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4"/>
                <w:bdr w:val="none" w:color="auto" w:sz="0" w:space="0"/>
                <w:lang w:val="en-US" w:eastAsia="zh-CN" w:bidi="ar"/>
              </w:rPr>
              <w:t>（1）</w:t>
            </w:r>
            <w:r>
              <w:rPr>
                <w:rFonts w:hint="eastAsia" w:ascii="宋体" w:hAnsi="宋体" w:eastAsia="宋体" w:cs="宋体"/>
                <w:color w:val="auto"/>
                <w:kern w:val="2"/>
                <w:sz w:val="21"/>
                <w:szCs w:val="21"/>
                <w:bdr w:val="none" w:color="auto" w:sz="0" w:space="0"/>
                <w:lang w:val="en-US" w:eastAsia="zh-CN" w:bidi="ar"/>
              </w:rPr>
              <w:t>投标人在“信用中国”网站(http://www.creditchina.gov.cn/)中未被列入失信被执行人名单、企业经营异常名录、重大税收违法案件当事人名单、政府采购严重违法失信名单（均不含分公司）；</w:t>
            </w:r>
          </w:p>
          <w:p>
            <w:pPr>
              <w:keepNext w:val="0"/>
              <w:keepLines w:val="0"/>
              <w:widowControl w:val="0"/>
              <w:suppressLineNumbers w:val="0"/>
              <w:spacing w:before="0" w:beforeAutospacing="0" w:after="0" w:afterAutospacing="0"/>
              <w:ind w:left="0" w:right="0" w:firstLine="420" w:firstLineChars="20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2</w:t>
            </w:r>
            <w:r>
              <w:rPr>
                <w:rFonts w:hint="eastAsia" w:ascii="宋体" w:hAnsi="宋体" w:eastAsia="宋体" w:cs="宋体"/>
                <w:szCs w:val="21"/>
                <w:bdr w:val="none" w:color="auto" w:sz="0" w:space="0"/>
              </w:rPr>
              <w:t>）投标人在国家企业信用信息公示系统（</w:t>
            </w:r>
            <w:r>
              <w:rPr>
                <w:rFonts w:hint="eastAsia" w:ascii="宋体" w:hAnsi="宋体" w:eastAsia="宋体" w:cs="宋体"/>
                <w:szCs w:val="21"/>
                <w:bdr w:val="none" w:color="auto" w:sz="0" w:space="0"/>
                <w:lang w:val="en-US"/>
              </w:rPr>
              <w:t>http://www.gsxt.gov.cn/</w:t>
            </w:r>
            <w:r>
              <w:rPr>
                <w:rFonts w:hint="eastAsia" w:ascii="宋体" w:hAnsi="宋体" w:eastAsia="宋体" w:cs="宋体"/>
                <w:szCs w:val="21"/>
                <w:bdr w:val="none" w:color="auto" w:sz="0" w:space="0"/>
              </w:rPr>
              <w:t>）中未被列入严重违法失信企业名单（不含分公司，事业单位除外）。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567" w:hRule="atLeast"/>
        </w:trPr>
        <w:tc>
          <w:tcPr>
            <w:tcW w:w="5000" w:type="pct"/>
            <w:gridSpan w:val="3"/>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264" w:lineRule="auto"/>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需要补充的其他内容：无</w:t>
            </w:r>
          </w:p>
        </w:tc>
      </w:tr>
    </w:tbl>
    <w:p>
      <w:pPr>
        <w:keepNext w:val="0"/>
        <w:keepLines w:val="0"/>
        <w:widowControl/>
        <w:suppressLineNumbers w:val="0"/>
        <w:spacing w:before="0" w:beforeAutospacing="0" w:after="0" w:afterAutospacing="0"/>
        <w:ind w:left="0" w:right="0"/>
        <w:jc w:val="left"/>
        <w:rPr>
          <w:rFonts w:hint="eastAsia" w:ascii="宋体" w:hAnsi="宋体" w:eastAsia="宋体" w:cs="宋体"/>
          <w:sz w:val="24"/>
          <w:szCs w:val="20"/>
          <w:lang w:val="en-US"/>
        </w:rPr>
      </w:pPr>
    </w:p>
    <w:p>
      <w:pPr>
        <w:pStyle w:val="3"/>
        <w:widowControl/>
        <w:spacing w:line="360" w:lineRule="auto"/>
        <w:rPr>
          <w:rFonts w:hAnsi="宋体" w:cs="宋体"/>
          <w:b/>
          <w:bCs w:val="0"/>
          <w:lang w:val="en-US"/>
        </w:rPr>
      </w:pPr>
      <w:r>
        <w:rPr>
          <w:rFonts w:hint="eastAsia" w:ascii="宋体" w:hAnsi="宋体" w:eastAsia="宋体" w:cs="宋体"/>
          <w:kern w:val="2"/>
          <w:sz w:val="24"/>
          <w:szCs w:val="21"/>
          <w:lang w:val="en-US" w:eastAsia="zh-CN" w:bidi="ar"/>
        </w:rPr>
        <w:br w:type="page"/>
      </w:r>
      <w:bookmarkStart w:id="22" w:name="_Hlk113375211"/>
      <w:r>
        <w:rPr>
          <w:rFonts w:hAnsi="宋体" w:cs="宋体"/>
          <w:sz w:val="24"/>
          <w:szCs w:val="21"/>
          <w:lang w:eastAsia="zh-CN"/>
        </w:rPr>
        <w:t>具体评分标准如下：</w:t>
      </w:r>
    </w:p>
    <w:tbl>
      <w:tblPr>
        <w:tblStyle w:val="7"/>
        <w:tblW w:w="5145"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Layout w:type="autofit"/>
        <w:tblCellMar>
          <w:top w:w="0" w:type="dxa"/>
          <w:left w:w="0" w:type="dxa"/>
          <w:bottom w:w="0" w:type="dxa"/>
          <w:right w:w="0" w:type="dxa"/>
        </w:tblCellMar>
      </w:tblPr>
      <w:tblGrid>
        <w:gridCol w:w="702"/>
        <w:gridCol w:w="802"/>
        <w:gridCol w:w="792"/>
        <w:gridCol w:w="1494"/>
        <w:gridCol w:w="694"/>
        <w:gridCol w:w="492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Cs w:val="21"/>
                <w:bdr w:val="none" w:color="auto" w:sz="0" w:space="0"/>
              </w:rPr>
              <w:t>条款号</w:t>
            </w:r>
          </w:p>
        </w:tc>
        <w:tc>
          <w:tcPr>
            <w:tcW w:w="426"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Cs w:val="21"/>
                <w:bdr w:val="none" w:color="auto" w:sz="0" w:space="0"/>
              </w:rPr>
              <w:t>评审因素</w:t>
            </w:r>
          </w:p>
        </w:tc>
        <w:tc>
          <w:tcPr>
            <w:tcW w:w="421"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Cs w:val="21"/>
                <w:bdr w:val="none" w:color="auto" w:sz="0" w:space="0"/>
              </w:rPr>
              <w:t>评分因素权重分值</w:t>
            </w:r>
          </w:p>
        </w:tc>
        <w:tc>
          <w:tcPr>
            <w:tcW w:w="794" w:type="pct"/>
            <w:tcBorders>
              <w:top w:val="single" w:color="auto" w:sz="6" w:space="0"/>
              <w:left w:val="single" w:color="auto" w:sz="6" w:space="0"/>
              <w:bottom w:val="single" w:color="auto" w:sz="6"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color w:val="auto"/>
                <w:kern w:val="0"/>
                <w:sz w:val="21"/>
                <w:szCs w:val="21"/>
                <w:bdr w:val="none" w:color="auto" w:sz="0" w:space="0"/>
                <w:lang w:val="en-US" w:eastAsia="zh-CN" w:bidi="ar"/>
              </w:rPr>
              <w:t>各评分因素</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Cs w:val="21"/>
                <w:bdr w:val="none" w:color="auto" w:sz="0" w:space="0"/>
              </w:rPr>
              <w:t>细分项</w:t>
            </w:r>
          </w:p>
        </w:tc>
        <w:tc>
          <w:tcPr>
            <w:tcW w:w="369" w:type="pct"/>
            <w:tcBorders>
              <w:top w:val="single" w:color="auto" w:sz="6" w:space="0"/>
              <w:left w:val="single" w:color="auto" w:sz="4" w:space="0"/>
              <w:bottom w:val="single" w:color="auto" w:sz="6"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Cs w:val="21"/>
                <w:bdr w:val="none" w:color="auto" w:sz="0" w:space="0"/>
              </w:rPr>
              <w:t>分值</w:t>
            </w:r>
          </w:p>
        </w:tc>
        <w:tc>
          <w:tcPr>
            <w:tcW w:w="2617" w:type="pct"/>
            <w:tcBorders>
              <w:top w:val="single" w:color="auto" w:sz="6" w:space="0"/>
              <w:left w:val="single" w:color="auto" w:sz="4"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b/>
                <w:bCs w:val="0"/>
                <w:kern w:val="0"/>
                <w:szCs w:val="21"/>
                <w:bdr w:val="none" w:color="auto" w:sz="0" w:space="0"/>
                <w:lang w:val="en-US"/>
              </w:rPr>
            </w:pPr>
            <w:r>
              <w:rPr>
                <w:rFonts w:hint="eastAsia" w:ascii="宋体" w:hAnsi="宋体" w:eastAsia="宋体" w:cs="宋体"/>
                <w:b/>
                <w:bCs w:val="0"/>
                <w:kern w:val="0"/>
                <w:szCs w:val="21"/>
                <w:bdr w:val="none" w:color="auto" w:sz="0" w:space="0"/>
              </w:rPr>
              <w:t>评分标准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2.2.4</w:t>
            </w:r>
            <w:r>
              <w:rPr>
                <w:rFonts w:hint="eastAsia" w:ascii="宋体" w:hAnsi="宋体" w:eastAsia="宋体" w:cs="宋体"/>
                <w:kern w:val="0"/>
                <w:szCs w:val="21"/>
                <w:bdr w:val="none" w:color="auto" w:sz="0" w:space="0"/>
              </w:rPr>
              <w:t>（</w:t>
            </w:r>
            <w:r>
              <w:rPr>
                <w:rFonts w:hint="eastAsia" w:ascii="宋体" w:hAnsi="宋体" w:eastAsia="宋体" w:cs="宋体"/>
                <w:kern w:val="0"/>
                <w:szCs w:val="21"/>
                <w:bdr w:val="none" w:color="auto" w:sz="0" w:space="0"/>
                <w:lang w:val="en-US"/>
              </w:rPr>
              <w:t>1</w:t>
            </w:r>
            <w:r>
              <w:rPr>
                <w:rFonts w:hint="eastAsia" w:ascii="宋体" w:hAnsi="宋体" w:eastAsia="宋体" w:cs="宋体"/>
                <w:kern w:val="0"/>
                <w:szCs w:val="21"/>
                <w:bdr w:val="none" w:color="auto" w:sz="0" w:space="0"/>
              </w:rPr>
              <w:t>）</w:t>
            </w:r>
          </w:p>
        </w:tc>
        <w:tc>
          <w:tcPr>
            <w:tcW w:w="426"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技术建议书</w:t>
            </w:r>
          </w:p>
        </w:tc>
        <w:tc>
          <w:tcPr>
            <w:tcW w:w="421"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40</w:t>
            </w:r>
            <w:r>
              <w:rPr>
                <w:rFonts w:hint="eastAsia" w:ascii="宋体" w:hAnsi="宋体" w:eastAsia="宋体" w:cs="宋体"/>
                <w:kern w:val="0"/>
                <w:szCs w:val="21"/>
                <w:bdr w:val="none" w:color="auto" w:sz="0" w:space="0"/>
              </w:rPr>
              <w:t>分</w:t>
            </w:r>
          </w:p>
        </w:tc>
        <w:tc>
          <w:tcPr>
            <w:tcW w:w="794" w:type="pct"/>
            <w:vMerge w:val="restart"/>
            <w:tcBorders>
              <w:top w:val="single" w:color="auto" w:sz="6" w:space="0"/>
              <w:left w:val="single" w:color="auto" w:sz="6" w:space="0"/>
              <w:bottom w:val="single" w:color="auto" w:sz="6"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rPr>
              <w:t>对本项目工作范围和任务理解</w:t>
            </w:r>
          </w:p>
        </w:tc>
        <w:tc>
          <w:tcPr>
            <w:tcW w:w="369" w:type="pct"/>
            <w:vMerge w:val="restart"/>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8</w:t>
            </w:r>
            <w:r>
              <w:rPr>
                <w:rFonts w:hint="eastAsia" w:ascii="宋体" w:hAnsi="宋体" w:eastAsia="宋体" w:cs="宋体"/>
                <w:kern w:val="0"/>
                <w:szCs w:val="21"/>
                <w:bdr w:val="none" w:color="auto" w:sz="0" w:space="0"/>
              </w:rPr>
              <w:t>分</w:t>
            </w:r>
          </w:p>
        </w:tc>
        <w:tc>
          <w:tcPr>
            <w:tcW w:w="2617" w:type="pct"/>
            <w:tcBorders>
              <w:top w:val="single" w:color="auto" w:sz="6"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理解基本准确，得</w:t>
            </w:r>
            <w:r>
              <w:rPr>
                <w:rFonts w:hint="eastAsia" w:ascii="宋体" w:hAnsi="宋体" w:eastAsia="宋体" w:cs="宋体"/>
                <w:szCs w:val="21"/>
                <w:bdr w:val="none" w:color="auto" w:sz="0" w:space="0"/>
                <w:lang w:val="en-US"/>
              </w:rPr>
              <w:t>0-3.0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理解较准确，思路较清晰，得</w:t>
            </w:r>
            <w:r>
              <w:rPr>
                <w:rFonts w:hint="eastAsia" w:ascii="宋体" w:hAnsi="宋体" w:eastAsia="宋体" w:cs="宋体"/>
                <w:szCs w:val="21"/>
                <w:bdr w:val="none" w:color="auto" w:sz="0" w:space="0"/>
                <w:lang w:val="en-US"/>
              </w:rPr>
              <w:t>3.0-6.0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理解准确，思路清晰、全面，得</w:t>
            </w:r>
            <w:r>
              <w:rPr>
                <w:rFonts w:hint="eastAsia" w:ascii="宋体" w:hAnsi="宋体" w:eastAsia="宋体" w:cs="宋体"/>
                <w:szCs w:val="21"/>
                <w:bdr w:val="none" w:color="auto" w:sz="0" w:space="0"/>
                <w:lang w:val="en-US"/>
              </w:rPr>
              <w:t>6.1-8.0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restart"/>
            <w:tcBorders>
              <w:top w:val="single" w:color="auto" w:sz="6" w:space="0"/>
              <w:left w:val="single" w:color="auto" w:sz="6" w:space="0"/>
              <w:bottom w:val="single" w:color="auto" w:sz="4"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rPr>
              <w:t>检测工作的程序与方法</w:t>
            </w:r>
          </w:p>
        </w:tc>
        <w:tc>
          <w:tcPr>
            <w:tcW w:w="369" w:type="pct"/>
            <w:vMerge w:val="restart"/>
            <w:tcBorders>
              <w:top w:val="single" w:color="auto" w:sz="6" w:space="0"/>
              <w:left w:val="single" w:color="auto" w:sz="4" w:space="0"/>
              <w:bottom w:val="single" w:color="auto" w:sz="4"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lang w:val="en-US"/>
              </w:rPr>
              <w:t>8</w:t>
            </w:r>
            <w:r>
              <w:rPr>
                <w:rFonts w:hAnsi="宋体" w:cs="宋体"/>
                <w:kern w:val="0"/>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dr w:val="none" w:color="auto" w:sz="0" w:space="0"/>
                <w:lang w:val="en-US"/>
              </w:rPr>
            </w:pPr>
            <w:r>
              <w:rPr>
                <w:rFonts w:hint="eastAsia" w:ascii="宋体" w:hAnsi="宋体" w:eastAsia="宋体" w:cs="宋体"/>
                <w:bdr w:val="none" w:color="auto" w:sz="0" w:space="0"/>
              </w:rPr>
              <w:t>内容基本齐全，阶段划分基本合理，可实施性一般，得</w:t>
            </w:r>
            <w:r>
              <w:rPr>
                <w:rFonts w:hint="eastAsia" w:ascii="宋体" w:hAnsi="宋体" w:eastAsia="宋体" w:cs="宋体"/>
                <w:szCs w:val="21"/>
                <w:bdr w:val="none" w:color="auto" w:sz="0" w:space="0"/>
                <w:lang w:val="en-US"/>
              </w:rPr>
              <w:t>0-3.0</w:t>
            </w:r>
            <w:r>
              <w:rPr>
                <w:rFonts w:hint="eastAsia" w:ascii="宋体" w:hAnsi="宋体" w:eastAsia="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dr w:val="none" w:color="auto" w:sz="0" w:space="0"/>
                <w:lang w:val="en-US"/>
              </w:rPr>
            </w:pPr>
            <w:r>
              <w:rPr>
                <w:rFonts w:hint="eastAsia" w:ascii="宋体" w:hAnsi="宋体" w:eastAsia="宋体" w:cs="宋体"/>
                <w:bdr w:val="none" w:color="auto" w:sz="0" w:space="0"/>
              </w:rPr>
              <w:t>内容较齐全，阶段划分较合理，可实施性较好，得</w:t>
            </w:r>
            <w:r>
              <w:rPr>
                <w:rFonts w:hint="eastAsia" w:ascii="宋体" w:hAnsi="宋体" w:eastAsia="宋体" w:cs="宋体"/>
                <w:bdr w:val="none" w:color="auto" w:sz="0" w:space="0"/>
                <w:lang w:val="en-US"/>
              </w:rPr>
              <w:t>3.1-6.0</w:t>
            </w:r>
            <w:r>
              <w:rPr>
                <w:rFonts w:hint="eastAsia" w:ascii="宋体" w:hAnsi="宋体" w:eastAsia="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dr w:val="none" w:color="auto" w:sz="0" w:space="0"/>
                <w:lang w:val="en-US"/>
              </w:rPr>
            </w:pPr>
            <w:r>
              <w:rPr>
                <w:rFonts w:hint="eastAsia" w:ascii="宋体" w:hAnsi="宋体" w:eastAsia="宋体" w:cs="宋体"/>
                <w:bdr w:val="none" w:color="auto" w:sz="0" w:space="0"/>
              </w:rPr>
              <w:t>内容齐全，阶段划分合理、正确，可实施性强，得</w:t>
            </w:r>
            <w:r>
              <w:rPr>
                <w:rFonts w:hint="eastAsia" w:ascii="宋体" w:hAnsi="宋体" w:eastAsia="宋体" w:cs="宋体"/>
                <w:szCs w:val="21"/>
                <w:bdr w:val="none" w:color="auto" w:sz="0" w:space="0"/>
                <w:lang w:val="en-US"/>
              </w:rPr>
              <w:t>6.1-8.0</w:t>
            </w:r>
            <w:r>
              <w:rPr>
                <w:rFonts w:hint="eastAsia" w:ascii="宋体" w:hAnsi="宋体" w:eastAsia="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restart"/>
            <w:tcBorders>
              <w:top w:val="single" w:color="auto" w:sz="6" w:space="0"/>
              <w:left w:val="single" w:color="auto" w:sz="6" w:space="0"/>
              <w:bottom w:val="single" w:color="auto" w:sz="4"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rPr>
              <w:t>检测工作服务的目标及保证措施</w:t>
            </w:r>
          </w:p>
        </w:tc>
        <w:tc>
          <w:tcPr>
            <w:tcW w:w="369" w:type="pct"/>
            <w:vMerge w:val="restart"/>
            <w:tcBorders>
              <w:top w:val="single" w:color="auto" w:sz="6" w:space="0"/>
              <w:left w:val="single" w:color="auto" w:sz="4" w:space="0"/>
              <w:bottom w:val="single" w:color="auto" w:sz="4"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lang w:val="en-US"/>
              </w:rPr>
              <w:t>8</w:t>
            </w:r>
            <w:r>
              <w:rPr>
                <w:rFonts w:hAnsi="宋体" w:cs="宋体"/>
                <w:kern w:val="0"/>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dr w:val="none" w:color="auto" w:sz="0" w:space="0"/>
                <w:lang w:val="en-US"/>
              </w:rPr>
            </w:pPr>
            <w:r>
              <w:rPr>
                <w:rFonts w:hint="eastAsia" w:ascii="宋体" w:hAnsi="宋体" w:eastAsia="宋体" w:cs="宋体"/>
                <w:bdr w:val="none" w:color="auto" w:sz="0" w:space="0"/>
              </w:rPr>
              <w:t>目标基本准确、措施可实施性一般，得</w:t>
            </w:r>
            <w:r>
              <w:rPr>
                <w:rFonts w:hint="eastAsia" w:ascii="宋体" w:hAnsi="宋体" w:eastAsia="宋体" w:cs="宋体"/>
                <w:bdr w:val="none" w:color="auto" w:sz="0" w:space="0"/>
                <w:lang w:val="en-US"/>
              </w:rPr>
              <w:t>0-3.0</w:t>
            </w:r>
            <w:r>
              <w:rPr>
                <w:rFonts w:hint="eastAsia" w:ascii="宋体" w:hAnsi="宋体" w:eastAsia="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dr w:val="none" w:color="auto" w:sz="0" w:space="0"/>
                <w:lang w:val="en-US"/>
              </w:rPr>
            </w:pPr>
            <w:r>
              <w:rPr>
                <w:rFonts w:hint="eastAsia" w:ascii="宋体" w:hAnsi="宋体" w:eastAsia="宋体" w:cs="宋体"/>
                <w:bdr w:val="none" w:color="auto" w:sz="0" w:space="0"/>
              </w:rPr>
              <w:t>目标较准确、措施可实施性较好，得</w:t>
            </w:r>
            <w:r>
              <w:rPr>
                <w:rFonts w:hint="eastAsia" w:ascii="宋体" w:hAnsi="宋体" w:eastAsia="宋体" w:cs="宋体"/>
                <w:bdr w:val="none" w:color="auto" w:sz="0" w:space="0"/>
                <w:lang w:val="en-US"/>
              </w:rPr>
              <w:t>3.1-6.0</w:t>
            </w:r>
            <w:r>
              <w:rPr>
                <w:rFonts w:hint="eastAsia" w:ascii="宋体" w:hAnsi="宋体" w:eastAsia="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宋体"/>
                <w:bdr w:val="none" w:color="auto" w:sz="0" w:space="0"/>
                <w:lang w:val="en-US"/>
              </w:rPr>
            </w:pPr>
            <w:r>
              <w:rPr>
                <w:rFonts w:hint="eastAsia" w:ascii="宋体" w:hAnsi="宋体" w:eastAsia="宋体" w:cs="宋体"/>
                <w:bdr w:val="none" w:color="auto" w:sz="0" w:space="0"/>
              </w:rPr>
              <w:t>目标准确、措施完善可实施性强，得</w:t>
            </w:r>
            <w:r>
              <w:rPr>
                <w:rFonts w:hint="eastAsia" w:ascii="宋体" w:hAnsi="宋体" w:eastAsia="宋体" w:cs="宋体"/>
                <w:bdr w:val="none" w:color="auto" w:sz="0" w:space="0"/>
                <w:lang w:val="en-US"/>
              </w:rPr>
              <w:t>6.1-8.0</w:t>
            </w:r>
            <w:r>
              <w:rPr>
                <w:rFonts w:hint="eastAsia" w:ascii="宋体" w:hAnsi="宋体" w:eastAsia="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restart"/>
            <w:tcBorders>
              <w:top w:val="single" w:color="auto" w:sz="6" w:space="0"/>
              <w:left w:val="single" w:color="auto" w:sz="6" w:space="0"/>
              <w:bottom w:val="single" w:color="auto" w:sz="4"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rPr>
              <w:t>本项目工作的重点与难点分析及对策措施</w:t>
            </w:r>
          </w:p>
        </w:tc>
        <w:tc>
          <w:tcPr>
            <w:tcW w:w="369" w:type="pct"/>
            <w:vMerge w:val="restart"/>
            <w:tcBorders>
              <w:top w:val="single" w:color="auto" w:sz="6" w:space="0"/>
              <w:left w:val="single" w:color="auto" w:sz="4"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8</w:t>
            </w:r>
            <w:r>
              <w:rPr>
                <w:rFonts w:hint="eastAsia" w:ascii="宋体" w:hAnsi="宋体" w:eastAsia="宋体" w:cs="宋体"/>
                <w:kern w:val="0"/>
                <w:szCs w:val="21"/>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分析一般，对难点、重点把握一般；处理措施基本合理，基本可行，得</w:t>
            </w:r>
            <w:r>
              <w:rPr>
                <w:rFonts w:hint="eastAsia" w:ascii="宋体" w:hAnsi="宋体" w:eastAsia="宋体" w:cs="宋体"/>
                <w:szCs w:val="21"/>
                <w:bdr w:val="none" w:color="auto" w:sz="0" w:space="0"/>
                <w:lang w:val="en-US"/>
              </w:rPr>
              <w:t>0-3.0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分析较透彻，对难点、重点把握较准确；处理措施合理，可行，得</w:t>
            </w:r>
            <w:r>
              <w:rPr>
                <w:rFonts w:hint="eastAsia" w:ascii="宋体" w:hAnsi="宋体" w:eastAsia="宋体" w:cs="宋体"/>
                <w:szCs w:val="21"/>
                <w:bdr w:val="none" w:color="auto" w:sz="0" w:space="0"/>
                <w:lang w:val="en-US"/>
              </w:rPr>
              <w:t>3.1-6.0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分析透彻，对难点、重点把握准确；处理措施科学合理，有效可行，得</w:t>
            </w:r>
            <w:r>
              <w:rPr>
                <w:rFonts w:hint="eastAsia" w:ascii="宋体" w:hAnsi="宋体" w:eastAsia="宋体" w:cs="宋体"/>
                <w:szCs w:val="21"/>
                <w:bdr w:val="none" w:color="auto" w:sz="0" w:space="0"/>
                <w:lang w:val="en-US"/>
              </w:rPr>
              <w:t>6.1-8.0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restart"/>
            <w:tcBorders>
              <w:top w:val="single" w:color="auto" w:sz="4" w:space="0"/>
              <w:left w:val="single" w:color="auto" w:sz="6" w:space="0"/>
              <w:bottom w:val="single" w:color="auto" w:sz="6" w:space="0"/>
              <w:right w:val="single" w:color="auto" w:sz="4" w:space="0"/>
            </w:tcBorders>
            <w:shd w:val="clear"/>
            <w:vAlign w:val="center"/>
          </w:tcPr>
          <w:p>
            <w:pPr>
              <w:pStyle w:val="3"/>
              <w:widowControl/>
              <w:jc w:val="center"/>
              <w:rPr>
                <w:rFonts w:hAnsi="宋体" w:cs="宋体"/>
                <w:kern w:val="0"/>
                <w:bdr w:val="none" w:color="auto" w:sz="0" w:space="0"/>
                <w:lang w:val="en-US"/>
              </w:rPr>
            </w:pPr>
            <w:r>
              <w:rPr>
                <w:rFonts w:hAnsi="宋体" w:cs="宋体"/>
                <w:kern w:val="0"/>
                <w:bdr w:val="none" w:color="auto" w:sz="0" w:space="0"/>
              </w:rPr>
              <w:t>对本项目的建议</w:t>
            </w:r>
          </w:p>
        </w:tc>
        <w:tc>
          <w:tcPr>
            <w:tcW w:w="369" w:type="pct"/>
            <w:vMerge w:val="restart"/>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8</w:t>
            </w:r>
            <w:r>
              <w:rPr>
                <w:rFonts w:hint="eastAsia" w:ascii="宋体" w:hAnsi="宋体" w:eastAsia="宋体" w:cs="宋体"/>
                <w:kern w:val="0"/>
                <w:szCs w:val="21"/>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建议基本合理，可实施性一般，得</w:t>
            </w:r>
            <w:r>
              <w:rPr>
                <w:rFonts w:hint="eastAsia" w:ascii="宋体" w:hAnsi="宋体" w:eastAsia="宋体" w:cs="宋体"/>
                <w:szCs w:val="21"/>
                <w:bdr w:val="none" w:color="auto" w:sz="0" w:space="0"/>
                <w:lang w:val="en-US"/>
              </w:rPr>
              <w:t>0-3.0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4"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4" w:space="0"/>
              <w:left w:val="single" w:color="auto" w:sz="4"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建议全面合理，可实施性较好，得</w:t>
            </w:r>
            <w:r>
              <w:rPr>
                <w:rFonts w:hint="eastAsia" w:ascii="宋体" w:hAnsi="宋体" w:eastAsia="宋体" w:cs="宋体"/>
                <w:szCs w:val="21"/>
                <w:bdr w:val="none" w:color="auto" w:sz="0" w:space="0"/>
                <w:lang w:val="en-US"/>
              </w:rPr>
              <w:t>3.1-6.0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4"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4" w:space="0"/>
              <w:left w:val="single" w:color="auto" w:sz="4"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6" w:space="0"/>
              <w:right w:val="single" w:color="auto" w:sz="6" w:space="0"/>
            </w:tcBorders>
            <w:shd w:val="clear"/>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建议具体全面合理，可实施性强，得</w:t>
            </w:r>
            <w:r>
              <w:rPr>
                <w:rFonts w:hint="eastAsia" w:ascii="宋体" w:hAnsi="宋体" w:eastAsia="宋体" w:cs="宋体"/>
                <w:szCs w:val="21"/>
                <w:bdr w:val="none" w:color="auto" w:sz="0" w:space="0"/>
                <w:lang w:val="en-US"/>
              </w:rPr>
              <w:t>6.1-8.0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639" w:hRule="atLeast"/>
          <w:jc w:val="center"/>
        </w:trPr>
        <w:tc>
          <w:tcPr>
            <w:tcW w:w="373"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118" w:rightChars="-56"/>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2.2.4</w:t>
            </w:r>
            <w:r>
              <w:rPr>
                <w:rFonts w:hint="eastAsia" w:ascii="宋体" w:hAnsi="宋体" w:eastAsia="宋体" w:cs="宋体"/>
                <w:kern w:val="0"/>
                <w:szCs w:val="21"/>
                <w:bdr w:val="none" w:color="auto" w:sz="0" w:space="0"/>
              </w:rPr>
              <w:t>（</w:t>
            </w:r>
            <w:r>
              <w:rPr>
                <w:rFonts w:hint="eastAsia" w:ascii="宋体" w:hAnsi="宋体" w:eastAsia="宋体" w:cs="宋体"/>
                <w:kern w:val="0"/>
                <w:szCs w:val="21"/>
                <w:bdr w:val="none" w:color="auto" w:sz="0" w:space="0"/>
                <w:lang w:val="en-US"/>
              </w:rPr>
              <w:t>2</w:t>
            </w:r>
            <w:r>
              <w:rPr>
                <w:rFonts w:hint="eastAsia" w:ascii="宋体" w:hAnsi="宋体" w:eastAsia="宋体" w:cs="宋体"/>
                <w:kern w:val="0"/>
                <w:szCs w:val="21"/>
                <w:bdr w:val="none" w:color="auto" w:sz="0" w:space="0"/>
              </w:rPr>
              <w:t>）</w:t>
            </w:r>
          </w:p>
        </w:tc>
        <w:tc>
          <w:tcPr>
            <w:tcW w:w="426"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color w:val="auto"/>
                <w:kern w:val="0"/>
                <w:sz w:val="21"/>
                <w:szCs w:val="21"/>
                <w:bdr w:val="none" w:color="auto" w:sz="0" w:space="0"/>
                <w:lang w:val="en-US" w:eastAsia="zh-CN" w:bidi="ar"/>
              </w:rPr>
              <w:t>主要</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人员</w:t>
            </w:r>
          </w:p>
        </w:tc>
        <w:tc>
          <w:tcPr>
            <w:tcW w:w="421"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20</w:t>
            </w:r>
            <w:r>
              <w:rPr>
                <w:rFonts w:hint="eastAsia" w:ascii="宋体" w:hAnsi="宋体" w:eastAsia="宋体" w:cs="宋体"/>
                <w:kern w:val="0"/>
                <w:szCs w:val="21"/>
                <w:bdr w:val="none" w:color="auto" w:sz="0" w:space="0"/>
              </w:rPr>
              <w:t>分</w:t>
            </w:r>
          </w:p>
        </w:tc>
        <w:tc>
          <w:tcPr>
            <w:tcW w:w="794" w:type="pct"/>
            <w:vMerge w:val="restart"/>
            <w:tcBorders>
              <w:top w:val="single" w:color="auto" w:sz="4" w:space="0"/>
              <w:left w:val="single" w:color="auto" w:sz="6"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项目负责人</w:t>
            </w:r>
          </w:p>
        </w:tc>
        <w:tc>
          <w:tcPr>
            <w:tcW w:w="369" w:type="pct"/>
            <w:vMerge w:val="restart"/>
            <w:tcBorders>
              <w:top w:val="single" w:color="auto" w:sz="4" w:space="0"/>
              <w:left w:val="single" w:color="auto" w:sz="4" w:space="0"/>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lang w:val="en-US"/>
              </w:rPr>
              <w:t>10</w:t>
            </w:r>
            <w:r>
              <w:rPr>
                <w:rFonts w:hint="eastAsia" w:ascii="宋体" w:hAnsi="宋体" w:eastAsia="宋体" w:cs="宋体"/>
                <w:szCs w:val="21"/>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满足附录</w:t>
            </w:r>
            <w:r>
              <w:rPr>
                <w:rFonts w:hint="eastAsia" w:ascii="宋体" w:hAnsi="宋体" w:eastAsia="宋体" w:cs="宋体"/>
                <w:szCs w:val="21"/>
                <w:bdr w:val="none" w:color="auto" w:sz="0" w:space="0"/>
                <w:lang w:val="en-US"/>
              </w:rPr>
              <w:t>4</w:t>
            </w:r>
            <w:r>
              <w:rPr>
                <w:rFonts w:hint="eastAsia" w:ascii="宋体" w:hAnsi="宋体" w:eastAsia="宋体" w:cs="宋体"/>
                <w:szCs w:val="21"/>
                <w:bdr w:val="none" w:color="auto" w:sz="0" w:space="0"/>
              </w:rPr>
              <w:t>资格审查条件（主要人员最低要求），得</w:t>
            </w:r>
            <w:r>
              <w:rPr>
                <w:rFonts w:hint="eastAsia" w:ascii="宋体" w:hAnsi="宋体" w:eastAsia="宋体" w:cs="宋体"/>
                <w:szCs w:val="21"/>
                <w:bdr w:val="none" w:color="auto" w:sz="0" w:space="0"/>
                <w:lang w:val="en-US"/>
              </w:rPr>
              <w:t>6</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629"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4"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4" w:space="0"/>
              <w:left w:val="single" w:color="auto" w:sz="4"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6" w:space="0"/>
              <w:right w:val="single" w:color="auto" w:sz="6" w:space="0"/>
            </w:tcBorders>
            <w:shd w:val="clear"/>
            <w:vAlign w:val="center"/>
          </w:tcPr>
          <w:p>
            <w:pPr>
              <w:pStyle w:val="3"/>
              <w:widowControl/>
              <w:rPr>
                <w:rFonts w:hAnsi="宋体" w:cs="宋体"/>
                <w:bdr w:val="none" w:color="auto" w:sz="0" w:space="0"/>
                <w:lang w:val="en-US"/>
              </w:rPr>
            </w:pPr>
            <w:r>
              <w:rPr>
                <w:rFonts w:hAnsi="宋体" w:cs="宋体"/>
                <w:bdr w:val="none" w:color="auto" w:sz="0" w:space="0"/>
              </w:rPr>
              <w:t>每增加</w:t>
            </w:r>
            <w:r>
              <w:rPr>
                <w:rFonts w:hAnsi="宋体" w:cs="宋体"/>
                <w:bdr w:val="none" w:color="auto" w:sz="0" w:space="0"/>
                <w:lang w:val="en-US"/>
              </w:rPr>
              <w:t>1</w:t>
            </w:r>
            <w:r>
              <w:rPr>
                <w:rFonts w:hAnsi="宋体" w:cs="宋体"/>
                <w:bdr w:val="none" w:color="auto" w:sz="0" w:space="0"/>
              </w:rPr>
              <w:t>项满足附录</w:t>
            </w:r>
            <w:r>
              <w:rPr>
                <w:rFonts w:hAnsi="宋体" w:cs="宋体"/>
                <w:bdr w:val="none" w:color="auto" w:sz="0" w:space="0"/>
                <w:lang w:val="en-US"/>
              </w:rPr>
              <w:t>4</w:t>
            </w:r>
            <w:r>
              <w:rPr>
                <w:rFonts w:hAnsi="宋体" w:cs="宋体"/>
                <w:bdr w:val="none" w:color="auto" w:sz="0" w:space="0"/>
              </w:rPr>
              <w:t>资格审查条件（主要人员最低要求）的项目负责人业绩，加</w:t>
            </w:r>
            <w:r>
              <w:rPr>
                <w:rFonts w:hAnsi="宋体" w:cs="宋体"/>
                <w:bdr w:val="none" w:color="auto" w:sz="0" w:space="0"/>
                <w:lang w:val="en-US"/>
              </w:rPr>
              <w:t>4</w:t>
            </w:r>
            <w:r>
              <w:rPr>
                <w:rFonts w:hAnsi="宋体" w:cs="宋体"/>
                <w:bdr w:val="none" w:color="auto" w:sz="0" w:space="0"/>
              </w:rPr>
              <w:t>分，最高加</w:t>
            </w:r>
            <w:r>
              <w:rPr>
                <w:rFonts w:hAnsi="宋体" w:cs="宋体"/>
                <w:bdr w:val="none" w:color="auto" w:sz="0" w:space="0"/>
                <w:lang w:val="en-US"/>
              </w:rPr>
              <w:t>4</w:t>
            </w:r>
            <w:r>
              <w:rPr>
                <w:rFonts w:hAnsi="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526"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restart"/>
            <w:tcBorders>
              <w:top w:val="single" w:color="auto" w:sz="6" w:space="0"/>
              <w:left w:val="single" w:color="auto" w:sz="6" w:space="0"/>
              <w:bottom w:val="single" w:color="auto" w:sz="4"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技术负责人</w:t>
            </w:r>
          </w:p>
        </w:tc>
        <w:tc>
          <w:tcPr>
            <w:tcW w:w="369" w:type="pct"/>
            <w:vMerge w:val="restart"/>
            <w:tcBorders>
              <w:top w:val="single" w:color="auto" w:sz="6" w:space="0"/>
              <w:left w:val="single" w:color="auto" w:sz="4" w:space="0"/>
              <w:bottom w:val="single" w:color="auto" w:sz="6" w:space="0"/>
              <w:right w:val="single" w:color="auto" w:sz="4" w:space="0"/>
            </w:tcBorders>
            <w:shd w:val="clear"/>
            <w:vAlign w:val="center"/>
          </w:tcPr>
          <w:p>
            <w:pPr>
              <w:pStyle w:val="3"/>
              <w:widowControl/>
              <w:jc w:val="center"/>
              <w:rPr>
                <w:rFonts w:hAnsi="宋体" w:cs="宋体"/>
                <w:bdr w:val="none" w:color="auto" w:sz="0" w:space="0"/>
                <w:lang w:val="en-US"/>
              </w:rPr>
            </w:pPr>
            <w:r>
              <w:rPr>
                <w:rFonts w:hAnsi="宋体" w:cs="宋体"/>
                <w:bdr w:val="none" w:color="auto" w:sz="0" w:space="0"/>
                <w:lang w:val="en-US"/>
              </w:rPr>
              <w:t>10</w:t>
            </w:r>
            <w:r>
              <w:rPr>
                <w:rFonts w:hAnsi="宋体" w:cs="宋体"/>
                <w:bdr w:val="none" w:color="auto" w:sz="0" w:space="0"/>
              </w:rPr>
              <w:t>分</w:t>
            </w:r>
          </w:p>
        </w:tc>
        <w:tc>
          <w:tcPr>
            <w:tcW w:w="2617" w:type="pct"/>
            <w:tcBorders>
              <w:top w:val="single" w:color="auto" w:sz="4" w:space="0"/>
              <w:left w:val="single" w:color="auto" w:sz="4"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满足附录</w:t>
            </w:r>
            <w:r>
              <w:rPr>
                <w:rFonts w:hint="eastAsia" w:ascii="宋体" w:hAnsi="宋体" w:eastAsia="宋体" w:cs="宋体"/>
                <w:szCs w:val="21"/>
                <w:bdr w:val="none" w:color="auto" w:sz="0" w:space="0"/>
                <w:lang w:val="en-US"/>
              </w:rPr>
              <w:t>4</w:t>
            </w:r>
            <w:r>
              <w:rPr>
                <w:rFonts w:hint="eastAsia" w:ascii="宋体" w:hAnsi="宋体" w:eastAsia="宋体" w:cs="宋体"/>
                <w:szCs w:val="21"/>
                <w:bdr w:val="none" w:color="auto" w:sz="0" w:space="0"/>
              </w:rPr>
              <w:t>资格审查条件（主要人员最低要求），得</w:t>
            </w:r>
            <w:r>
              <w:rPr>
                <w:rFonts w:hint="eastAsia" w:ascii="宋体" w:hAnsi="宋体" w:eastAsia="宋体" w:cs="宋体"/>
                <w:szCs w:val="21"/>
                <w:bdr w:val="none" w:color="auto" w:sz="0" w:space="0"/>
                <w:lang w:val="en-US"/>
              </w:rPr>
              <w:t>6</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629"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6" w:space="0"/>
              <w:left w:val="single" w:color="auto" w:sz="6"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6" w:space="0"/>
              <w:left w:val="single" w:color="auto" w:sz="4"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6" w:space="0"/>
              <w:right w:val="single" w:color="auto" w:sz="6" w:space="0"/>
            </w:tcBorders>
            <w:shd w:val="clear"/>
            <w:vAlign w:val="center"/>
          </w:tcPr>
          <w:p>
            <w:pPr>
              <w:pStyle w:val="3"/>
              <w:widowControl/>
              <w:rPr>
                <w:rFonts w:hAnsi="宋体" w:cs="宋体"/>
                <w:bdr w:val="none" w:color="auto" w:sz="0" w:space="0"/>
                <w:lang w:val="en-US"/>
              </w:rPr>
            </w:pPr>
            <w:r>
              <w:rPr>
                <w:rFonts w:hAnsi="宋体" w:cs="宋体"/>
                <w:bdr w:val="none" w:color="auto" w:sz="0" w:space="0"/>
              </w:rPr>
              <w:t>每增加</w:t>
            </w:r>
            <w:r>
              <w:rPr>
                <w:rFonts w:hAnsi="宋体" w:cs="宋体"/>
                <w:bdr w:val="none" w:color="auto" w:sz="0" w:space="0"/>
                <w:lang w:val="en-US"/>
              </w:rPr>
              <w:t>1</w:t>
            </w:r>
            <w:r>
              <w:rPr>
                <w:rFonts w:hAnsi="宋体" w:cs="宋体"/>
                <w:bdr w:val="none" w:color="auto" w:sz="0" w:space="0"/>
              </w:rPr>
              <w:t>项满足附录</w:t>
            </w:r>
            <w:r>
              <w:rPr>
                <w:rFonts w:hAnsi="宋体" w:cs="宋体"/>
                <w:bdr w:val="none" w:color="auto" w:sz="0" w:space="0"/>
                <w:lang w:val="en-US"/>
              </w:rPr>
              <w:t>4</w:t>
            </w:r>
            <w:r>
              <w:rPr>
                <w:rFonts w:hAnsi="宋体" w:cs="宋体"/>
                <w:bdr w:val="none" w:color="auto" w:sz="0" w:space="0"/>
              </w:rPr>
              <w:t>资格审查条件（主要人员最低要求）的技术负责人业绩，加</w:t>
            </w:r>
            <w:r>
              <w:rPr>
                <w:rFonts w:hAnsi="宋体" w:cs="宋体"/>
                <w:bdr w:val="none" w:color="auto" w:sz="0" w:space="0"/>
                <w:lang w:val="en-US"/>
              </w:rPr>
              <w:t>4</w:t>
            </w:r>
            <w:r>
              <w:rPr>
                <w:rFonts w:hAnsi="宋体" w:cs="宋体"/>
                <w:bdr w:val="none" w:color="auto" w:sz="0" w:space="0"/>
              </w:rPr>
              <w:t>分，最高加</w:t>
            </w:r>
            <w:r>
              <w:rPr>
                <w:rFonts w:hAnsi="宋体" w:cs="宋体"/>
                <w:bdr w:val="none" w:color="auto" w:sz="0" w:space="0"/>
                <w:lang w:val="en-US"/>
              </w:rPr>
              <w:t>4</w:t>
            </w:r>
            <w:r>
              <w:rPr>
                <w:rFonts w:hAnsi="宋体" w:cs="宋体"/>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205" w:hRule="atLeast"/>
          <w:jc w:val="center"/>
        </w:trPr>
        <w:tc>
          <w:tcPr>
            <w:tcW w:w="373"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118" w:rightChars="-56"/>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2.2.4</w:t>
            </w:r>
            <w:r>
              <w:rPr>
                <w:rFonts w:hint="eastAsia" w:ascii="宋体" w:hAnsi="宋体" w:eastAsia="宋体" w:cs="宋体"/>
                <w:kern w:val="0"/>
                <w:szCs w:val="21"/>
                <w:bdr w:val="none" w:color="auto" w:sz="0" w:space="0"/>
              </w:rPr>
              <w:t>（</w:t>
            </w:r>
            <w:r>
              <w:rPr>
                <w:rFonts w:hint="eastAsia" w:ascii="宋体" w:hAnsi="宋体" w:eastAsia="宋体" w:cs="宋体"/>
                <w:kern w:val="0"/>
                <w:szCs w:val="21"/>
                <w:bdr w:val="none" w:color="auto" w:sz="0" w:space="0"/>
                <w:lang w:val="en-US"/>
              </w:rPr>
              <w:t>3</w:t>
            </w:r>
            <w:r>
              <w:rPr>
                <w:rFonts w:hint="eastAsia" w:ascii="宋体" w:hAnsi="宋体" w:eastAsia="宋体" w:cs="宋体"/>
                <w:kern w:val="0"/>
                <w:szCs w:val="21"/>
                <w:bdr w:val="none" w:color="auto" w:sz="0" w:space="0"/>
              </w:rPr>
              <w:t>）</w:t>
            </w:r>
          </w:p>
        </w:tc>
        <w:tc>
          <w:tcPr>
            <w:tcW w:w="426"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评标价</w:t>
            </w:r>
          </w:p>
        </w:tc>
        <w:tc>
          <w:tcPr>
            <w:tcW w:w="421" w:type="pc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10</w:t>
            </w:r>
            <w:r>
              <w:rPr>
                <w:rFonts w:hint="eastAsia" w:ascii="宋体" w:hAnsi="宋体" w:eastAsia="宋体" w:cs="宋体"/>
                <w:kern w:val="0"/>
                <w:szCs w:val="21"/>
                <w:bdr w:val="none" w:color="auto" w:sz="0" w:space="0"/>
              </w:rPr>
              <w:t>分</w:t>
            </w:r>
          </w:p>
        </w:tc>
        <w:tc>
          <w:tcPr>
            <w:tcW w:w="3779" w:type="pct"/>
            <w:gridSpan w:val="3"/>
            <w:tcBorders>
              <w:top w:val="single" w:color="auto" w:sz="4" w:space="0"/>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评标价得分计算公式示例：</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（1）如果投标人的评标价＞评标基准价，则评标价得分=F-（投标人评标价-评标基准价）/评标基准价×100×E1；</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Cs w:val="21"/>
                <w:bdr w:val="none" w:color="auto" w:sz="0" w:space="0"/>
                <w:lang w:val="en-US"/>
              </w:rPr>
            </w:pPr>
            <w:r>
              <w:rPr>
                <w:rFonts w:hint="eastAsia" w:ascii="宋体" w:hAnsi="宋体" w:eastAsia="宋体" w:cs="宋体"/>
                <w:color w:val="auto"/>
                <w:kern w:val="2"/>
                <w:sz w:val="21"/>
                <w:szCs w:val="21"/>
                <w:bdr w:val="none" w:color="auto" w:sz="0" w:space="0"/>
                <w:lang w:val="en-US" w:eastAsia="zh-CN" w:bidi="ar"/>
              </w:rPr>
              <w:t>（2）如果投标人的评标价≤评标基准价，则评标价得分=F+(投标人评标价-评标基准价)/评标基准价×100×E2。</w:t>
            </w:r>
          </w:p>
          <w:p>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其中，</w:t>
            </w:r>
            <w:r>
              <w:rPr>
                <w:rFonts w:hint="eastAsia" w:ascii="宋体" w:hAnsi="宋体" w:eastAsia="宋体" w:cs="宋体"/>
                <w:szCs w:val="21"/>
                <w:bdr w:val="none" w:color="auto" w:sz="0" w:space="0"/>
                <w:lang w:val="en-US"/>
              </w:rPr>
              <w:t>F=10</w:t>
            </w: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E1=0.2</w:t>
            </w:r>
            <w:r>
              <w:rPr>
                <w:rFonts w:hint="eastAsia" w:ascii="宋体" w:hAnsi="宋体" w:eastAsia="宋体" w:cs="宋体"/>
                <w:szCs w:val="21"/>
                <w:bdr w:val="none" w:color="auto" w:sz="0" w:space="0"/>
              </w:rPr>
              <w:t>；</w:t>
            </w:r>
            <w:r>
              <w:rPr>
                <w:rFonts w:hint="eastAsia" w:ascii="宋体" w:hAnsi="宋体" w:eastAsia="宋体" w:cs="宋体"/>
                <w:szCs w:val="21"/>
                <w:bdr w:val="none" w:color="auto" w:sz="0" w:space="0"/>
                <w:lang w:val="en-US"/>
              </w:rPr>
              <w:t>E2=0.1</w:t>
            </w:r>
            <w:r>
              <w:rPr>
                <w:rFonts w:hint="eastAsia" w:ascii="宋体" w:hAnsi="宋体" w:eastAsia="宋体" w:cs="宋体"/>
                <w:szCs w:val="21"/>
                <w:bdr w:val="none" w:color="auto" w:sz="0" w:space="0"/>
              </w:rPr>
              <w:t>；评标价最低得分为</w:t>
            </w:r>
            <w:r>
              <w:rPr>
                <w:rFonts w:hint="eastAsia" w:ascii="宋体" w:hAnsi="宋体" w:eastAsia="宋体" w:cs="宋体"/>
                <w:szCs w:val="21"/>
                <w:bdr w:val="none" w:color="auto" w:sz="0" w:space="0"/>
                <w:lang w:val="en-US"/>
              </w:rPr>
              <w:t>0</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351" w:hRule="atLeast"/>
          <w:jc w:val="center"/>
        </w:trPr>
        <w:tc>
          <w:tcPr>
            <w:tcW w:w="373" w:type="pct"/>
            <w:vMerge w:val="restart"/>
            <w:tcBorders>
              <w:top w:val="single" w:color="auto" w:sz="6" w:space="0"/>
              <w:left w:val="single" w:color="auto" w:sz="6"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118" w:rightChars="-56"/>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2.2.4</w:t>
            </w:r>
            <w:r>
              <w:rPr>
                <w:rFonts w:hint="eastAsia" w:ascii="宋体" w:hAnsi="宋体" w:eastAsia="宋体" w:cs="宋体"/>
                <w:kern w:val="0"/>
                <w:szCs w:val="21"/>
                <w:bdr w:val="none" w:color="auto" w:sz="0" w:space="0"/>
              </w:rPr>
              <w:t>（</w:t>
            </w:r>
            <w:r>
              <w:rPr>
                <w:rFonts w:hint="eastAsia" w:ascii="宋体" w:hAnsi="宋体" w:eastAsia="宋体" w:cs="宋体"/>
                <w:kern w:val="0"/>
                <w:szCs w:val="21"/>
                <w:bdr w:val="none" w:color="auto" w:sz="0" w:space="0"/>
                <w:lang w:val="en-US"/>
              </w:rPr>
              <w:t>4</w:t>
            </w:r>
            <w:r>
              <w:rPr>
                <w:rFonts w:hint="eastAsia" w:ascii="宋体" w:hAnsi="宋体" w:eastAsia="宋体" w:cs="宋体"/>
                <w:kern w:val="0"/>
                <w:szCs w:val="21"/>
                <w:bdr w:val="none" w:color="auto" w:sz="0" w:space="0"/>
              </w:rPr>
              <w:t>）</w:t>
            </w:r>
          </w:p>
        </w:tc>
        <w:tc>
          <w:tcPr>
            <w:tcW w:w="426" w:type="pct"/>
            <w:vMerge w:val="restart"/>
            <w:tcBorders>
              <w:top w:val="single" w:color="auto" w:sz="6" w:space="0"/>
              <w:left w:val="single" w:color="auto" w:sz="6" w:space="0"/>
              <w:bottom w:val="single" w:color="auto" w:sz="6"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color w:val="auto"/>
                <w:kern w:val="0"/>
                <w:sz w:val="21"/>
                <w:szCs w:val="21"/>
                <w:bdr w:val="none" w:color="auto" w:sz="0" w:space="0"/>
                <w:lang w:val="en-US" w:eastAsia="zh-CN" w:bidi="ar"/>
              </w:rPr>
              <w:t>其他</w:t>
            </w:r>
          </w:p>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因素</w:t>
            </w:r>
          </w:p>
        </w:tc>
        <w:tc>
          <w:tcPr>
            <w:tcW w:w="421" w:type="pct"/>
            <w:vMerge w:val="restart"/>
            <w:tcBorders>
              <w:top w:val="single" w:color="auto" w:sz="6" w:space="0"/>
              <w:left w:val="single" w:color="auto" w:sz="4" w:space="0"/>
              <w:bottom w:val="single" w:color="auto" w:sz="6" w:space="0"/>
              <w:right w:val="single" w:color="auto" w:sz="6"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lang w:val="en-US"/>
              </w:rPr>
              <w:t>30</w:t>
            </w:r>
            <w:r>
              <w:rPr>
                <w:rFonts w:hint="eastAsia" w:ascii="宋体" w:hAnsi="宋体" w:eastAsia="宋体" w:cs="宋体"/>
                <w:kern w:val="0"/>
                <w:szCs w:val="21"/>
                <w:bdr w:val="none" w:color="auto" w:sz="0" w:space="0"/>
              </w:rPr>
              <w:t>分</w:t>
            </w:r>
          </w:p>
        </w:tc>
        <w:tc>
          <w:tcPr>
            <w:tcW w:w="794" w:type="pct"/>
            <w:vMerge w:val="restart"/>
            <w:tcBorders>
              <w:top w:val="single" w:color="auto" w:sz="4" w:space="0"/>
              <w:left w:val="single" w:color="auto" w:sz="6" w:space="0"/>
              <w:bottom w:val="single" w:color="auto" w:sz="6"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业绩</w:t>
            </w:r>
          </w:p>
        </w:tc>
        <w:tc>
          <w:tcPr>
            <w:tcW w:w="369" w:type="pct"/>
            <w:vMerge w:val="restart"/>
            <w:tcBorders>
              <w:top w:val="single" w:color="auto" w:sz="4" w:space="0"/>
              <w:left w:val="single" w:color="auto" w:sz="4" w:space="0"/>
              <w:bottom w:val="single" w:color="auto" w:sz="4" w:space="0"/>
              <w:right w:val="single" w:color="auto" w:sz="4" w:space="0"/>
            </w:tcBorders>
            <w:shd w:val="clear"/>
            <w:vAlign w:val="center"/>
          </w:tcPr>
          <w:p>
            <w:pPr>
              <w:pStyle w:val="3"/>
              <w:widowControl/>
              <w:jc w:val="center"/>
              <w:rPr>
                <w:rFonts w:hAnsi="宋体" w:cs="宋体"/>
                <w:bdr w:val="none" w:color="auto" w:sz="0" w:space="0"/>
                <w:lang w:val="en-US"/>
              </w:rPr>
            </w:pPr>
            <w:r>
              <w:rPr>
                <w:rFonts w:hAnsi="宋体" w:cs="宋体"/>
                <w:bdr w:val="none" w:color="auto" w:sz="0" w:space="0"/>
                <w:lang w:val="en-US"/>
              </w:rPr>
              <w:t>25</w:t>
            </w:r>
            <w:r>
              <w:rPr>
                <w:rFonts w:hAnsi="宋体" w:cs="宋体"/>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ind w:left="0" w:right="0"/>
              <w:jc w:val="left"/>
              <w:rPr>
                <w:rFonts w:hint="eastAsia" w:ascii="宋体" w:hAnsi="宋体" w:eastAsia="宋体" w:cs="宋体"/>
                <w:szCs w:val="21"/>
                <w:bdr w:val="none" w:color="auto" w:sz="0" w:space="0"/>
                <w:lang w:val="en-US"/>
              </w:rPr>
            </w:pPr>
            <w:r>
              <w:rPr>
                <w:rFonts w:hint="eastAsia" w:ascii="宋体" w:hAnsi="宋体" w:eastAsia="宋体" w:cs="宋体"/>
                <w:szCs w:val="21"/>
                <w:bdr w:val="none" w:color="auto" w:sz="0" w:space="0"/>
              </w:rPr>
              <w:t>满足附录</w:t>
            </w:r>
            <w:r>
              <w:rPr>
                <w:rFonts w:hint="eastAsia" w:ascii="宋体" w:hAnsi="宋体" w:eastAsia="宋体" w:cs="宋体"/>
                <w:szCs w:val="21"/>
                <w:bdr w:val="none" w:color="auto" w:sz="0" w:space="0"/>
                <w:lang w:val="en-US"/>
              </w:rPr>
              <w:t>2</w:t>
            </w:r>
            <w:r>
              <w:rPr>
                <w:rFonts w:hint="eastAsia" w:ascii="宋体" w:hAnsi="宋体" w:eastAsia="宋体" w:cs="宋体"/>
                <w:szCs w:val="21"/>
                <w:bdr w:val="none" w:color="auto" w:sz="0" w:space="0"/>
              </w:rPr>
              <w:t>资格审查条件（业绩最低要求），得</w:t>
            </w:r>
            <w:r>
              <w:rPr>
                <w:rFonts w:hint="eastAsia" w:ascii="宋体" w:hAnsi="宋体" w:eastAsia="宋体" w:cs="宋体"/>
                <w:szCs w:val="21"/>
                <w:bdr w:val="none" w:color="auto" w:sz="0" w:space="0"/>
                <w:lang w:val="en-US"/>
              </w:rPr>
              <w:t>15</w:t>
            </w:r>
            <w:r>
              <w:rPr>
                <w:rFonts w:hint="eastAsia" w:ascii="宋体" w:hAnsi="宋体" w:eastAsia="宋体" w:cs="宋体"/>
                <w:szCs w:val="21"/>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587"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4"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vMerge w:val="continue"/>
            <w:tcBorders>
              <w:top w:val="single" w:color="auto" w:sz="4"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369" w:type="pct"/>
            <w:vMerge w:val="continue"/>
            <w:tcBorders>
              <w:top w:val="single" w:color="auto" w:sz="4" w:space="0"/>
              <w:left w:val="single" w:color="auto" w:sz="4" w:space="0"/>
              <w:bottom w:val="single" w:color="auto" w:sz="4" w:space="0"/>
              <w:right w:val="single" w:color="auto" w:sz="4" w:space="0"/>
            </w:tcBorders>
            <w:shd w:val="clear"/>
            <w:vAlign w:val="center"/>
          </w:tcPr>
          <w:p>
            <w:pPr>
              <w:rPr>
                <w:rFonts w:hint="default" w:ascii="Times New Roman" w:hAnsi="Times New Roman" w:cs="Times New Roman"/>
                <w:sz w:val="20"/>
                <w:szCs w:val="20"/>
              </w:rPr>
            </w:pP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szCs w:val="21"/>
                <w:bdr w:val="none" w:color="auto" w:sz="0" w:space="0"/>
                <w:lang w:val="en-US"/>
              </w:rPr>
            </w:pPr>
            <w:r>
              <w:rPr>
                <w:rFonts w:hint="eastAsia" w:ascii="宋体" w:hAnsi="宋体" w:eastAsia="宋体" w:cs="宋体"/>
                <w:kern w:val="0"/>
                <w:bdr w:val="none" w:color="auto" w:sz="0" w:space="0"/>
              </w:rPr>
              <w:t>每增加</w:t>
            </w:r>
            <w:r>
              <w:rPr>
                <w:rFonts w:hint="eastAsia" w:ascii="宋体" w:hAnsi="宋体" w:eastAsia="宋体" w:cs="宋体"/>
                <w:kern w:val="0"/>
                <w:bdr w:val="none" w:color="auto" w:sz="0" w:space="0"/>
                <w:lang w:val="en-US"/>
              </w:rPr>
              <w:t>1</w:t>
            </w:r>
            <w:r>
              <w:rPr>
                <w:rFonts w:hint="eastAsia" w:ascii="宋体" w:hAnsi="宋体" w:eastAsia="宋体" w:cs="宋体"/>
                <w:kern w:val="0"/>
                <w:bdr w:val="none" w:color="auto" w:sz="0" w:space="0"/>
              </w:rPr>
              <w:t>项满足</w:t>
            </w:r>
            <w:r>
              <w:rPr>
                <w:rFonts w:hint="eastAsia" w:ascii="宋体" w:hAnsi="宋体" w:eastAsia="宋体" w:cs="宋体"/>
                <w:szCs w:val="21"/>
                <w:bdr w:val="none" w:color="auto" w:sz="0" w:space="0"/>
              </w:rPr>
              <w:t>附录</w:t>
            </w:r>
            <w:r>
              <w:rPr>
                <w:rFonts w:hint="eastAsia" w:ascii="宋体" w:hAnsi="宋体" w:eastAsia="宋体" w:cs="宋体"/>
                <w:szCs w:val="21"/>
                <w:bdr w:val="none" w:color="auto" w:sz="0" w:space="0"/>
                <w:lang w:val="en-US"/>
              </w:rPr>
              <w:t>2</w:t>
            </w:r>
            <w:r>
              <w:rPr>
                <w:rFonts w:hint="eastAsia" w:ascii="宋体" w:hAnsi="宋体" w:eastAsia="宋体" w:cs="宋体"/>
                <w:szCs w:val="21"/>
                <w:bdr w:val="none" w:color="auto" w:sz="0" w:space="0"/>
              </w:rPr>
              <w:t>资格审查条件（业绩最低要求）</w:t>
            </w:r>
            <w:r>
              <w:rPr>
                <w:rFonts w:hint="eastAsia" w:ascii="宋体" w:hAnsi="宋体" w:eastAsia="宋体" w:cs="宋体"/>
                <w:kern w:val="0"/>
                <w:bdr w:val="none" w:color="auto" w:sz="0" w:space="0"/>
              </w:rPr>
              <w:t>的业绩得</w:t>
            </w:r>
            <w:r>
              <w:rPr>
                <w:rFonts w:hint="eastAsia" w:ascii="宋体" w:hAnsi="宋体" w:eastAsia="宋体" w:cs="宋体"/>
                <w:kern w:val="0"/>
                <w:bdr w:val="none" w:color="auto" w:sz="0" w:space="0"/>
                <w:lang w:val="en-US"/>
              </w:rPr>
              <w:t>5</w:t>
            </w:r>
            <w:r>
              <w:rPr>
                <w:rFonts w:hint="eastAsia" w:ascii="宋体" w:hAnsi="宋体" w:eastAsia="宋体" w:cs="宋体"/>
                <w:kern w:val="0"/>
                <w:bdr w:val="none" w:color="auto" w:sz="0" w:space="0"/>
              </w:rPr>
              <w:t>分，本项最多加</w:t>
            </w:r>
            <w:r>
              <w:rPr>
                <w:rFonts w:hint="eastAsia" w:ascii="宋体" w:hAnsi="宋体" w:eastAsia="宋体" w:cs="宋体"/>
                <w:kern w:val="0"/>
                <w:bdr w:val="none" w:color="auto" w:sz="0" w:space="0"/>
                <w:lang w:val="en-US"/>
              </w:rPr>
              <w:t>10</w:t>
            </w:r>
            <w:r>
              <w:rPr>
                <w:rFonts w:hint="eastAsia" w:ascii="宋体" w:hAnsi="宋体" w:eastAsia="宋体" w:cs="宋体"/>
                <w:kern w:val="0"/>
                <w:bdr w:val="none" w:color="auto" w:sz="0" w:space="0"/>
              </w:rPr>
              <w:t>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tblCellMar>
            <w:top w:w="0" w:type="dxa"/>
            <w:left w:w="0" w:type="dxa"/>
            <w:bottom w:w="0" w:type="dxa"/>
            <w:right w:w="0" w:type="dxa"/>
          </w:tblCellMar>
        </w:tblPrEx>
        <w:trPr>
          <w:trHeight w:val="587" w:hRule="atLeast"/>
          <w:jc w:val="center"/>
        </w:trPr>
        <w:tc>
          <w:tcPr>
            <w:tcW w:w="373" w:type="pct"/>
            <w:vMerge w:val="continue"/>
            <w:tcBorders>
              <w:top w:val="single" w:color="auto" w:sz="6" w:space="0"/>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426" w:type="pct"/>
            <w:vMerge w:val="continue"/>
            <w:tcBorders>
              <w:top w:val="single" w:color="auto" w:sz="6" w:space="0"/>
              <w:left w:val="single" w:color="auto" w:sz="6" w:space="0"/>
              <w:bottom w:val="single" w:color="auto" w:sz="6" w:space="0"/>
              <w:right w:val="single" w:color="auto" w:sz="4" w:space="0"/>
            </w:tcBorders>
            <w:shd w:val="clear"/>
            <w:vAlign w:val="center"/>
          </w:tcPr>
          <w:p>
            <w:pPr>
              <w:rPr>
                <w:rFonts w:hint="default" w:ascii="Times New Roman" w:hAnsi="Times New Roman" w:cs="Times New Roman"/>
                <w:sz w:val="20"/>
                <w:szCs w:val="20"/>
              </w:rPr>
            </w:pPr>
          </w:p>
        </w:tc>
        <w:tc>
          <w:tcPr>
            <w:tcW w:w="421" w:type="pct"/>
            <w:vMerge w:val="continue"/>
            <w:tcBorders>
              <w:top w:val="single" w:color="auto" w:sz="6" w:space="0"/>
              <w:left w:val="single" w:color="auto" w:sz="4"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794" w:type="pct"/>
            <w:tcBorders>
              <w:top w:val="single" w:color="auto" w:sz="6" w:space="0"/>
              <w:left w:val="single" w:color="auto" w:sz="6" w:space="0"/>
              <w:bottom w:val="single" w:color="auto" w:sz="6" w:space="0"/>
              <w:right w:val="single" w:color="auto" w:sz="4" w:space="0"/>
            </w:tcBorders>
            <w:shd w:val="clear"/>
            <w:vAlign w:val="center"/>
          </w:tcPr>
          <w:p>
            <w:pPr>
              <w:keepNext w:val="0"/>
              <w:keepLines w:val="0"/>
              <w:widowControl w:val="0"/>
              <w:suppressLineNumbers w:val="0"/>
              <w:autoSpaceDE w:val="0"/>
              <w:autoSpaceDN w:val="0"/>
              <w:spacing w:before="0" w:beforeAutospacing="0" w:after="0" w:afterAutospacing="0"/>
              <w:ind w:left="0" w:right="0"/>
              <w:jc w:val="center"/>
              <w:rPr>
                <w:rFonts w:hint="eastAsia" w:ascii="宋体" w:hAnsi="宋体" w:eastAsia="宋体" w:cs="宋体"/>
                <w:kern w:val="0"/>
                <w:szCs w:val="21"/>
                <w:bdr w:val="none" w:color="auto" w:sz="0" w:space="0"/>
                <w:lang w:val="en-US"/>
              </w:rPr>
            </w:pPr>
            <w:r>
              <w:rPr>
                <w:rFonts w:hint="eastAsia" w:ascii="宋体" w:hAnsi="宋体" w:eastAsia="宋体" w:cs="宋体"/>
                <w:kern w:val="0"/>
                <w:szCs w:val="21"/>
                <w:bdr w:val="none" w:color="auto" w:sz="0" w:space="0"/>
              </w:rPr>
              <w:t>信誉</w:t>
            </w:r>
          </w:p>
        </w:tc>
        <w:tc>
          <w:tcPr>
            <w:tcW w:w="369" w:type="pct"/>
            <w:tcBorders>
              <w:top w:val="single" w:color="auto" w:sz="4" w:space="0"/>
              <w:left w:val="single" w:color="auto" w:sz="4" w:space="0"/>
              <w:bottom w:val="single" w:color="auto" w:sz="4" w:space="0"/>
              <w:right w:val="single" w:color="auto" w:sz="4" w:space="0"/>
            </w:tcBorders>
            <w:shd w:val="clear"/>
            <w:vAlign w:val="center"/>
          </w:tcPr>
          <w:p>
            <w:pPr>
              <w:pStyle w:val="3"/>
              <w:widowControl/>
              <w:jc w:val="center"/>
              <w:rPr>
                <w:rFonts w:hAnsi="宋体" w:cs="宋体"/>
                <w:bdr w:val="none" w:color="auto" w:sz="0" w:space="0"/>
                <w:lang w:val="en-US"/>
              </w:rPr>
            </w:pPr>
            <w:r>
              <w:rPr>
                <w:rFonts w:hAnsi="宋体" w:cs="宋体"/>
                <w:bdr w:val="none" w:color="auto" w:sz="0" w:space="0"/>
                <w:lang w:val="en-US"/>
              </w:rPr>
              <w:t>5</w:t>
            </w:r>
            <w:r>
              <w:rPr>
                <w:rFonts w:hAnsi="宋体" w:cs="宋体"/>
                <w:bdr w:val="none" w:color="auto" w:sz="0" w:space="0"/>
              </w:rPr>
              <w:t>分</w:t>
            </w:r>
          </w:p>
        </w:tc>
        <w:tc>
          <w:tcPr>
            <w:tcW w:w="2617" w:type="pct"/>
            <w:tcBorders>
              <w:top w:val="single" w:color="auto" w:sz="4" w:space="0"/>
              <w:left w:val="single" w:color="auto" w:sz="4"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240" w:lineRule="exact"/>
              <w:ind w:left="0" w:right="0"/>
              <w:jc w:val="left"/>
              <w:rPr>
                <w:rFonts w:hint="eastAsia" w:ascii="宋体" w:hAnsi="宋体" w:eastAsia="宋体" w:cs="宋体"/>
                <w:kern w:val="0"/>
                <w:bdr w:val="none" w:color="auto" w:sz="0" w:space="0"/>
                <w:lang w:val="en-US"/>
              </w:rPr>
            </w:pPr>
            <w:r>
              <w:rPr>
                <w:rFonts w:hint="eastAsia" w:ascii="Times New Roman" w:hAnsi="宋体" w:eastAsia="宋体" w:cs="宋体"/>
                <w:bdr w:val="none" w:color="auto" w:sz="0" w:space="0"/>
              </w:rPr>
              <w:t>近两年（</w:t>
            </w:r>
            <w:r>
              <w:rPr>
                <w:rFonts w:hAnsi="宋体"/>
                <w:bdr w:val="none" w:color="auto" w:sz="0" w:space="0"/>
                <w:lang w:val="en-US"/>
              </w:rPr>
              <w:t>2020</w:t>
            </w:r>
            <w:r>
              <w:rPr>
                <w:rFonts w:hint="eastAsia" w:ascii="Times New Roman" w:hAnsi="宋体" w:eastAsia="宋体" w:cs="宋体"/>
                <w:bdr w:val="none" w:color="auto" w:sz="0" w:space="0"/>
              </w:rPr>
              <w:t>年至</w:t>
            </w:r>
            <w:r>
              <w:rPr>
                <w:rFonts w:hAnsi="宋体"/>
                <w:bdr w:val="none" w:color="auto" w:sz="0" w:space="0"/>
                <w:lang w:val="en-US"/>
              </w:rPr>
              <w:t>2021</w:t>
            </w:r>
            <w:r>
              <w:rPr>
                <w:rFonts w:hint="eastAsia" w:ascii="Times New Roman" w:hAnsi="宋体" w:eastAsia="宋体" w:cs="宋体"/>
                <w:bdr w:val="none" w:color="auto" w:sz="0" w:space="0"/>
              </w:rPr>
              <w:t>年度）在交通运输部“公路水运工程质量试验检测管理信息系统”中信用评价等级</w:t>
            </w:r>
            <w:r>
              <w:rPr>
                <w:rFonts w:hAnsi="宋体"/>
                <w:bdr w:val="none" w:color="auto" w:sz="0" w:space="0"/>
                <w:lang w:val="en-US"/>
              </w:rPr>
              <w:t>2</w:t>
            </w:r>
            <w:r>
              <w:rPr>
                <w:rFonts w:hint="eastAsia" w:ascii="Times New Roman" w:hAnsi="宋体" w:eastAsia="宋体" w:cs="宋体"/>
                <w:bdr w:val="none" w:color="auto" w:sz="0" w:space="0"/>
              </w:rPr>
              <w:t>年均被评为</w:t>
            </w:r>
            <w:r>
              <w:rPr>
                <w:rFonts w:hAnsi="宋体"/>
                <w:bdr w:val="none" w:color="auto" w:sz="0" w:space="0"/>
                <w:lang w:val="en-US"/>
              </w:rPr>
              <w:t>A</w:t>
            </w:r>
            <w:r>
              <w:rPr>
                <w:rFonts w:hint="eastAsia" w:ascii="Times New Roman" w:hAnsi="宋体" w:eastAsia="宋体" w:cs="宋体"/>
                <w:bdr w:val="none" w:color="auto" w:sz="0" w:space="0"/>
              </w:rPr>
              <w:t>级的，得</w:t>
            </w:r>
            <w:r>
              <w:rPr>
                <w:rFonts w:hAnsi="宋体"/>
                <w:bdr w:val="none" w:color="auto" w:sz="0" w:space="0"/>
                <w:lang w:val="en-US"/>
              </w:rPr>
              <w:t>3</w:t>
            </w:r>
            <w:r>
              <w:rPr>
                <w:rFonts w:hint="eastAsia" w:ascii="Times New Roman" w:hAnsi="宋体" w:eastAsia="宋体" w:cs="宋体"/>
                <w:bdr w:val="none" w:color="auto" w:sz="0" w:space="0"/>
              </w:rPr>
              <w:t>分；</w:t>
            </w:r>
            <w:r>
              <w:rPr>
                <w:rFonts w:hAnsi="宋体"/>
                <w:bdr w:val="none" w:color="auto" w:sz="0" w:space="0"/>
                <w:lang w:val="en-US"/>
              </w:rPr>
              <w:t>2</w:t>
            </w:r>
            <w:r>
              <w:rPr>
                <w:rFonts w:hint="eastAsia" w:ascii="Times New Roman" w:hAnsi="宋体" w:eastAsia="宋体" w:cs="宋体"/>
                <w:bdr w:val="none" w:color="auto" w:sz="0" w:space="0"/>
              </w:rPr>
              <w:t>年中有</w:t>
            </w:r>
            <w:r>
              <w:rPr>
                <w:rFonts w:hAnsi="宋体"/>
                <w:bdr w:val="none" w:color="auto" w:sz="0" w:space="0"/>
                <w:lang w:val="en-US"/>
              </w:rPr>
              <w:t>1</w:t>
            </w:r>
            <w:r>
              <w:rPr>
                <w:rFonts w:hint="eastAsia" w:ascii="Times New Roman" w:hAnsi="宋体" w:eastAsia="宋体" w:cs="宋体"/>
                <w:bdr w:val="none" w:color="auto" w:sz="0" w:space="0"/>
              </w:rPr>
              <w:t>年被评为</w:t>
            </w:r>
            <w:r>
              <w:rPr>
                <w:rFonts w:hAnsi="宋体"/>
                <w:bdr w:val="none" w:color="auto" w:sz="0" w:space="0"/>
                <w:lang w:val="en-US"/>
              </w:rPr>
              <w:t>AA</w:t>
            </w:r>
            <w:r>
              <w:rPr>
                <w:rFonts w:hint="eastAsia" w:ascii="Times New Roman" w:hAnsi="宋体" w:eastAsia="宋体" w:cs="宋体"/>
                <w:bdr w:val="none" w:color="auto" w:sz="0" w:space="0"/>
              </w:rPr>
              <w:t>级的，得</w:t>
            </w:r>
            <w:r>
              <w:rPr>
                <w:rFonts w:hAnsi="宋体"/>
                <w:bdr w:val="none" w:color="auto" w:sz="0" w:space="0"/>
                <w:lang w:val="en-US"/>
              </w:rPr>
              <w:t>4</w:t>
            </w:r>
            <w:r>
              <w:rPr>
                <w:rFonts w:hint="eastAsia" w:ascii="Times New Roman" w:hAnsi="宋体" w:eastAsia="宋体" w:cs="宋体"/>
                <w:bdr w:val="none" w:color="auto" w:sz="0" w:space="0"/>
              </w:rPr>
              <w:t>分；</w:t>
            </w:r>
            <w:r>
              <w:rPr>
                <w:rFonts w:hAnsi="宋体"/>
                <w:bdr w:val="none" w:color="auto" w:sz="0" w:space="0"/>
                <w:lang w:val="en-US"/>
              </w:rPr>
              <w:t>2</w:t>
            </w:r>
            <w:r>
              <w:rPr>
                <w:rFonts w:hint="eastAsia" w:ascii="Times New Roman" w:hAnsi="宋体" w:eastAsia="宋体" w:cs="宋体"/>
                <w:bdr w:val="none" w:color="auto" w:sz="0" w:space="0"/>
              </w:rPr>
              <w:t>年均被评为</w:t>
            </w:r>
            <w:r>
              <w:rPr>
                <w:rFonts w:hAnsi="宋体"/>
                <w:bdr w:val="none" w:color="auto" w:sz="0" w:space="0"/>
                <w:lang w:val="en-US"/>
              </w:rPr>
              <w:t>AA</w:t>
            </w:r>
            <w:r>
              <w:rPr>
                <w:rFonts w:hint="eastAsia" w:ascii="Times New Roman" w:hAnsi="宋体" w:eastAsia="宋体" w:cs="宋体"/>
                <w:bdr w:val="none" w:color="auto" w:sz="0" w:space="0"/>
              </w:rPr>
              <w:t>级的，得</w:t>
            </w:r>
            <w:r>
              <w:rPr>
                <w:rFonts w:hAnsi="宋体"/>
                <w:bdr w:val="none" w:color="auto" w:sz="0" w:space="0"/>
                <w:lang w:val="en-US"/>
              </w:rPr>
              <w:t>5</w:t>
            </w:r>
            <w:r>
              <w:rPr>
                <w:rFonts w:hint="eastAsia" w:ascii="Times New Roman" w:hAnsi="宋体" w:eastAsia="宋体" w:cs="宋体"/>
                <w:bdr w:val="none" w:color="auto" w:sz="0" w:space="0"/>
              </w:rPr>
              <w:t>分。本项最高得分</w:t>
            </w:r>
            <w:r>
              <w:rPr>
                <w:rFonts w:hAnsi="宋体"/>
                <w:bdr w:val="none" w:color="auto" w:sz="0" w:space="0"/>
                <w:lang w:val="en-US"/>
              </w:rPr>
              <w:t>5</w:t>
            </w:r>
            <w:r>
              <w:rPr>
                <w:rFonts w:hint="eastAsia" w:ascii="Times New Roman" w:hAnsi="宋体" w:eastAsia="宋体" w:cs="宋体"/>
                <w:bdr w:val="none" w:color="auto" w:sz="0" w:space="0"/>
              </w:rPr>
              <w:t>分。</w:t>
            </w:r>
          </w:p>
        </w:tc>
      </w:tr>
    </w:tbl>
    <w:p>
      <w:pPr>
        <w:keepNext w:val="0"/>
        <w:keepLines w:val="0"/>
        <w:widowControl w:val="0"/>
        <w:suppressLineNumbers w:val="0"/>
        <w:spacing w:before="0" w:beforeAutospacing="0" w:after="0" w:afterAutospacing="0" w:line="288" w:lineRule="auto"/>
        <w:ind w:left="0" w:right="0"/>
        <w:jc w:val="left"/>
        <w:rPr>
          <w:lang w:val="en-US"/>
        </w:rPr>
      </w:pPr>
      <w:bookmarkStart w:id="23" w:name="_Toc356504160"/>
      <w:r>
        <w:rPr>
          <w:rFonts w:hint="eastAsia" w:ascii="宋体" w:hAnsi="宋体" w:eastAsia="宋体" w:cs="宋体"/>
          <w:b/>
          <w:bCs/>
          <w:color w:val="auto"/>
          <w:kern w:val="2"/>
          <w:sz w:val="21"/>
          <w:szCs w:val="24"/>
          <w:lang w:val="en-US" w:eastAsia="zh-CN" w:bidi="ar"/>
        </w:rPr>
        <w:t>注：1、投标文件各项评分因素得分应以评标委员会成员各项的打分平均值确定。各项打分保留一位小数。评委各项打分平均值保留两位小数，第三位四舍五入。</w:t>
      </w:r>
      <w:bookmarkEnd w:id="20"/>
      <w:bookmarkEnd w:id="21"/>
      <w:bookmarkEnd w:id="22"/>
      <w:bookmarkEnd w:id="23"/>
    </w:p>
    <w:p>
      <w:bookmarkStart w:id="24" w:name="_GoBack"/>
      <w:bookmarkEnd w:id="24"/>
    </w:p>
    <w:sectPr>
      <w:pgSz w:w="11906" w:h="16838"/>
      <w:pgMar w:top="1361" w:right="1418" w:bottom="1418" w:left="1361" w:header="851" w:footer="794" w:gutter="0"/>
      <w:paperSrc/>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黑体">
    <w:panose1 w:val="02010609060101010101"/>
    <w:charset w:val="86"/>
    <w:family w:val="auto"/>
    <w:pitch w:val="fixed"/>
    <w:sig w:usb0="800002BF" w:usb1="38CF7CFA" w:usb2="00000016" w:usb3="00000000" w:csb0="00040001" w:csb1="00000000"/>
  </w:font>
  <w:font w:name="等线">
    <w:altName w:val="Arial Unicode MS"/>
    <w:panose1 w:val="00000000000000000000"/>
    <w:charset w:val="86"/>
    <w:family w:val="auto"/>
    <w:pitch w:val="variable"/>
    <w:sig w:usb0="00000000" w:usb1="38CF7CFA" w:usb2="00000016" w:usb3="00000000" w:csb0="0004000F" w:csb1="00000000"/>
  </w:font>
  <w:font w:name="@等线">
    <w:altName w:val="宋体"/>
    <w:panose1 w:val="00000000000000000000"/>
    <w:charset w:val="86"/>
    <w:family w:val="auto"/>
    <w:pitch w:val="variable"/>
    <w:sig w:usb0="00000000" w:usb1="38CF7CFA" w:usb2="00000016" w:usb3="00000000" w:csb0="0004000F" w:csb1="00000000"/>
  </w:font>
  <w:font w:name="Courier New">
    <w:panose1 w:val="020703090202050204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9BD7C"/>
    <w:multiLevelType w:val="multilevel"/>
    <w:tmpl w:val="0A79BD7C"/>
    <w:lvl w:ilvl="0" w:tentative="0">
      <w:start w:val="1"/>
      <w:numFmt w:val="lowerLetter"/>
      <w:lvlText w:val="%1."/>
      <w:lvlJc w:val="left"/>
      <w:pPr>
        <w:tabs>
          <w:tab w:val="left" w:pos="312"/>
        </w:tabs>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16B71338"/>
    <w:multiLevelType w:val="multilevel"/>
    <w:tmpl w:val="16B71338"/>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41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2"/>
    <w:uiPriority w:val="0"/>
    <w:pPr>
      <w:keepNext w:val="0"/>
      <w:keepLines w:val="0"/>
      <w:widowControl w:val="0"/>
      <w:suppressLineNumbers w:val="0"/>
      <w:spacing w:before="0" w:beforeAutospacing="0" w:after="120" w:afterAutospacing="0"/>
      <w:ind w:left="0" w:right="0"/>
      <w:jc w:val="both"/>
    </w:pPr>
    <w:rPr>
      <w:rFonts w:hint="default" w:ascii="Times New Roman" w:hAnsi="Times New Roman" w:eastAsia="宋体" w:cs="Times New Roman"/>
      <w:color w:val="auto"/>
      <w:kern w:val="2"/>
      <w:sz w:val="21"/>
      <w:szCs w:val="24"/>
      <w:lang w:val="en-US" w:eastAsia="zh-CN" w:bidi="ar"/>
    </w:rPr>
  </w:style>
  <w:style w:type="paragraph" w:styleId="3">
    <w:name w:val="Plain Text"/>
    <w:basedOn w:val="1"/>
    <w:link w:val="10"/>
    <w:uiPriority w:val="0"/>
    <w:pPr>
      <w:keepNext w:val="0"/>
      <w:keepLines w:val="0"/>
      <w:widowControl w:val="0"/>
      <w:suppressLineNumbers w:val="0"/>
      <w:spacing w:before="0" w:beforeAutospacing="0" w:after="0" w:afterAutospacing="0"/>
      <w:ind w:left="0" w:right="0"/>
      <w:jc w:val="both"/>
    </w:pPr>
    <w:rPr>
      <w:rFonts w:hint="eastAsia" w:ascii="宋体" w:hAnsi="Times New Roman" w:eastAsia="宋体" w:cs="Times New Roman"/>
      <w:color w:val="auto"/>
      <w:kern w:val="2"/>
      <w:sz w:val="21"/>
      <w:szCs w:val="21"/>
      <w:lang w:val="en-US" w:eastAsia="zh-CN" w:bidi="ar"/>
    </w:rPr>
  </w:style>
  <w:style w:type="paragraph" w:styleId="4">
    <w:name w:val="footer"/>
    <w:basedOn w:val="1"/>
    <w:link w:val="16"/>
    <w:uiPriority w:val="0"/>
    <w:pPr>
      <w:tabs>
        <w:tab w:val="center" w:pos="4153"/>
        <w:tab w:val="right" w:pos="8306"/>
      </w:tabs>
      <w:snapToGrid w:val="0"/>
      <w:jc w:val="left"/>
    </w:pPr>
    <w:rPr>
      <w:sz w:val="18"/>
    </w:rPr>
  </w:style>
  <w:style w:type="paragraph" w:styleId="5">
    <w:name w:val="Normal (Web)"/>
    <w:basedOn w:val="1"/>
    <w:link w:val="14"/>
    <w:uiPriority w:val="0"/>
    <w:pPr>
      <w:keepNext w:val="0"/>
      <w:keepLines w:val="0"/>
      <w:widowControl/>
      <w:suppressLineNumbers w:val="0"/>
      <w:spacing w:before="0" w:beforeAutospacing="1" w:after="0" w:afterAutospacing="1"/>
      <w:ind w:left="0" w:right="0"/>
      <w:jc w:val="left"/>
    </w:pPr>
    <w:rPr>
      <w:rFonts w:hint="eastAsia" w:ascii="宋体" w:hAnsi="Times New Roman" w:eastAsia="宋体" w:cs="Times New Roman"/>
      <w:color w:val="0000FF"/>
      <w:kern w:val="0"/>
      <w:sz w:val="24"/>
      <w:szCs w:val="24"/>
      <w:lang w:val="en-US" w:eastAsia="zh-CN" w:bidi="ar"/>
    </w:rPr>
  </w:style>
  <w:style w:type="paragraph" w:styleId="6">
    <w:name w:val="Body Text First Indent"/>
    <w:basedOn w:val="2"/>
    <w:link w:val="13"/>
    <w:uiPriority w:val="0"/>
    <w:pPr>
      <w:ind w:firstLine="420" w:firstLineChars="100"/>
    </w:pPr>
  </w:style>
  <w:style w:type="character" w:customStyle="1" w:styleId="9">
    <w:name w:val="目录4 Char"/>
    <w:basedOn w:val="8"/>
    <w:uiPriority w:val="0"/>
    <w:rPr>
      <w:rFonts w:hint="eastAsia" w:ascii="黑体" w:hAnsi="宋体" w:eastAsia="黑体" w:cs="黑体"/>
      <w:kern w:val="2"/>
      <w:sz w:val="24"/>
      <w:szCs w:val="24"/>
      <w:lang w:val="en-US" w:eastAsia="zh-CN" w:bidi="ar"/>
    </w:rPr>
  </w:style>
  <w:style w:type="character" w:customStyle="1" w:styleId="10">
    <w:name w:val="纯文本 字符1"/>
    <w:basedOn w:val="8"/>
    <w:link w:val="3"/>
    <w:uiPriority w:val="0"/>
    <w:rPr>
      <w:rFonts w:hint="eastAsia" w:ascii="宋体" w:hAnsi="宋体" w:eastAsia="宋体" w:cs="宋体"/>
      <w:kern w:val="2"/>
      <w:sz w:val="21"/>
      <w:szCs w:val="21"/>
    </w:rPr>
  </w:style>
  <w:style w:type="character" w:customStyle="1" w:styleId="11">
    <w:name w:val="纯文本 Char"/>
    <w:basedOn w:val="8"/>
    <w:uiPriority w:val="0"/>
    <w:rPr>
      <w:rFonts w:hint="eastAsia" w:ascii="宋体" w:hAnsi="Courier New" w:eastAsia="宋体" w:cs="Courier New"/>
      <w:kern w:val="2"/>
      <w:sz w:val="21"/>
      <w:szCs w:val="21"/>
    </w:rPr>
  </w:style>
  <w:style w:type="character" w:customStyle="1" w:styleId="12">
    <w:name w:val="正文文本 Char"/>
    <w:basedOn w:val="8"/>
    <w:link w:val="2"/>
    <w:uiPriority w:val="0"/>
    <w:rPr>
      <w:kern w:val="2"/>
      <w:sz w:val="21"/>
      <w:szCs w:val="24"/>
    </w:rPr>
  </w:style>
  <w:style w:type="character" w:customStyle="1" w:styleId="13">
    <w:name w:val="正文首行缩进 Char"/>
    <w:basedOn w:val="12"/>
    <w:link w:val="6"/>
    <w:uiPriority w:val="0"/>
    <w:rPr>
      <w:kern w:val="2"/>
      <w:sz w:val="21"/>
      <w:szCs w:val="24"/>
    </w:rPr>
  </w:style>
  <w:style w:type="character" w:customStyle="1" w:styleId="14">
    <w:name w:val="普通(网站) 字符"/>
    <w:basedOn w:val="8"/>
    <w:link w:val="5"/>
    <w:uiPriority w:val="0"/>
    <w:rPr>
      <w:rFonts w:hint="eastAsia" w:ascii="宋体" w:hAnsi="宋体" w:eastAsia="宋体" w:cs="宋体"/>
      <w:color w:val="0000FF"/>
      <w:sz w:val="24"/>
      <w:szCs w:val="24"/>
    </w:rPr>
  </w:style>
  <w:style w:type="character" w:customStyle="1" w:styleId="15">
    <w:name w:val="页脚 Char"/>
    <w:basedOn w:val="8"/>
    <w:uiPriority w:val="0"/>
    <w:rPr>
      <w:kern w:val="2"/>
      <w:sz w:val="18"/>
      <w:szCs w:val="18"/>
    </w:rPr>
  </w:style>
  <w:style w:type="character" w:customStyle="1" w:styleId="16">
    <w:name w:val="页脚 字符"/>
    <w:basedOn w:val="8"/>
    <w:link w:val="4"/>
    <w:uiPriority w:val="0"/>
    <w:rPr>
      <w:kern w:val="2"/>
      <w:sz w:val="18"/>
      <w:szCs w:val="18"/>
    </w:rPr>
  </w:style>
  <w:style w:type="character" w:customStyle="1" w:styleId="17">
    <w:name w:val="NormalCharacter"/>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2022-09-16T07:33:02Z</dcterms:created>
  <dc:creator>Administrator</dc:creator>
  <cp:lastModifiedBy>莫失莫忘</cp:lastModifiedBy>
  <dcterms:modified xsi:type="dcterms:W3CDTF">2022-09-16T07:33:24Z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8D90333D63C0416E955E9D8C4D451E39</vt:lpwstr>
  </property>
</Properties>
</file>