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hAnsi="宋体"/>
          <w:b/>
          <w:spacing w:val="2"/>
          <w:kern w:val="0"/>
          <w:sz w:val="24"/>
          <w:lang w:val="en-US" w:eastAsia="zh-CN"/>
        </w:rPr>
      </w:pPr>
      <w:r>
        <w:rPr>
          <w:rFonts w:hint="eastAsia" w:ascii="宋体" w:hAnsi="宋体"/>
          <w:b/>
          <w:spacing w:val="2"/>
          <w:kern w:val="0"/>
          <w:sz w:val="24"/>
          <w:lang w:val="en-US" w:eastAsia="zh-CN"/>
        </w:rPr>
        <w:t>附件2评标办法</w:t>
      </w:r>
    </w:p>
    <w:p>
      <w:pPr>
        <w:spacing w:line="360" w:lineRule="auto"/>
        <w:rPr>
          <w:rFonts w:ascii="宋体" w:hAnsi="宋体" w:cs="宋体"/>
          <w:b/>
          <w:szCs w:val="21"/>
        </w:rPr>
      </w:pPr>
      <w:bookmarkStart w:id="0" w:name="_GoBack"/>
      <w:bookmarkEnd w:id="0"/>
      <w:r>
        <w:rPr>
          <w:rFonts w:hint="eastAsia" w:ascii="宋体" w:hAnsi="宋体"/>
          <w:b/>
          <w:spacing w:val="2"/>
          <w:kern w:val="0"/>
          <w:sz w:val="24"/>
        </w:rPr>
        <w:t>评标</w:t>
      </w:r>
      <w:r>
        <w:rPr>
          <w:rFonts w:hint="eastAsia" w:ascii="宋体" w:hAnsi="宋体"/>
          <w:b/>
          <w:kern w:val="0"/>
          <w:sz w:val="24"/>
        </w:rPr>
        <w:t>办法前附表</w:t>
      </w:r>
    </w:p>
    <w:tbl>
      <w:tblPr>
        <w:tblStyle w:val="8"/>
        <w:tblpPr w:leftFromText="180" w:rightFromText="180" w:vertAnchor="text" w:horzAnchor="page" w:tblpX="1562" w:tblpY="491"/>
        <w:tblOverlap w:val="never"/>
        <w:tblW w:w="97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1291"/>
        <w:gridCol w:w="7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8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条款号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条款名称</w:t>
            </w:r>
          </w:p>
        </w:tc>
        <w:tc>
          <w:tcPr>
            <w:tcW w:w="736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评审因素与评审标准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评标办法</w:t>
            </w:r>
          </w:p>
        </w:tc>
        <w:tc>
          <w:tcPr>
            <w:tcW w:w="736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szCs w:val="21"/>
              </w:rPr>
              <w:t>本次评标采用综合评估法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评标委员会对满足招标文件实质性要求的投标文件，按照本章第</w:t>
            </w:r>
            <w:r>
              <w:rPr>
                <w:szCs w:val="21"/>
                <w:lang w:bidi="en-US"/>
              </w:rPr>
              <w:t>2.2</w:t>
            </w:r>
            <w:r>
              <w:rPr>
                <w:szCs w:val="21"/>
              </w:rPr>
              <w:t>款规定的评分标准进行打分，并按得分由高到低顺序推荐</w:t>
            </w:r>
            <w:r>
              <w:rPr>
                <w:rFonts w:hint="eastAsia"/>
                <w:szCs w:val="21"/>
              </w:rPr>
              <w:t>1-3名</w:t>
            </w:r>
            <w:r>
              <w:rPr>
                <w:szCs w:val="21"/>
              </w:rPr>
              <w:t>中标候选人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 w:ascii="宋体" w:hAnsi="宋体"/>
                <w:szCs w:val="21"/>
              </w:rPr>
              <w:t>综合评分相等时，评标委员会依次按照以下优先顺序推荐中标候选人：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（1）评标价低的投标人优先；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（2）</w:t>
            </w:r>
            <w:r>
              <w:rPr>
                <w:rFonts w:ascii="宋体" w:hAnsi="宋体"/>
                <w:szCs w:val="21"/>
              </w:rPr>
              <w:t>技术</w:t>
            </w:r>
            <w:r>
              <w:rPr>
                <w:rFonts w:hint="eastAsia" w:ascii="宋体" w:hAnsi="宋体"/>
                <w:szCs w:val="21"/>
              </w:rPr>
              <w:t>建议书</w:t>
            </w:r>
            <w:r>
              <w:rPr>
                <w:rFonts w:ascii="宋体" w:hAnsi="宋体"/>
                <w:szCs w:val="21"/>
              </w:rPr>
              <w:t>得分较高的投标人优先</w:t>
            </w:r>
            <w:r>
              <w:rPr>
                <w:rFonts w:hint="eastAsia" w:ascii="宋体" w:hAnsi="宋体"/>
                <w:szCs w:val="21"/>
              </w:rPr>
              <w:t>；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（3）投标人业绩累计金额高的优先。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2.1.1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2.1.3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形式评审与响应性评审标准</w:t>
            </w:r>
          </w:p>
        </w:tc>
        <w:tc>
          <w:tcPr>
            <w:tcW w:w="736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第一个信封（商务及技术文件）评审标准：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（1）投标文件按照招标文件规定的格式、内容填写，清晰可辨：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a.投标函按招标文件规定填报了项目名称、补遗书编号（如有）、总监理工程师姓名、年龄、职务、监理工程师证书、监理服务期限、工程质量及安全目标；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b.投标文件组成齐全完整，内容均按规定填写；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（2）投标文件上法定代表人或其委托代理人的签字、投标人的单位盖章齐全，符合招标文件规定；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（3）投标人按照招标文件的规定提供了投标保证金：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a.投标保证金金额符合招标文件规定的金额，且投标保证金有效期不少于投标有效期；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b.若投标保证金采用电汇或转账形式提交，投标人应在递交投标文件截止时间之前，将投标保证金由投标人的基本账户转入招标人指定账户；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c.若投标保证金采用银行保函形式提交，银行保函的格式、开具保函的银行均满足招标文件要求，且在递交投标文件截止时间之前向招标人提交了银行保函原件。。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（4）投标人未以联合体形式投标。</w:t>
            </w:r>
          </w:p>
          <w:p>
            <w:pPr>
              <w:pStyle w:val="2"/>
            </w:pPr>
            <w:r>
              <w:rPr>
                <w:rFonts w:hint="eastAsia" w:ascii="宋体" w:hAnsi="宋体"/>
                <w:szCs w:val="21"/>
              </w:rPr>
              <w:t>（5） 投标人未对本项目提出分包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（6）投标人未提交两个以上不同的投标文件。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（7）投标文件中未出现有关投标报价的内容。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（8）投标文件载明的招标项目完成期限未超过招标文件规定的时限。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（9）投标文件对招标文件的实质性要求和条件作出响应。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（10）权利义务符合招标文件规定：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a.投标人应接受招标文件规定的风险划分原则，未提出新的风险划分办法；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b.投标人未增加发包人的责任范围，或减少投标人义务；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c.投标人未提出不同的支付办法；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d.投标人对合同纠纷、事故处理办法未提出异议；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e.投标人在投标活动中无欺诈行为；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f.投标人未对合同条款有重要保留。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第二个信封（报价文件）评审标准：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（1）投标文件上法定代表人或其委托代理人的签字、投标人的单位盖章齐全，符合招标文件规定；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（2）报价文件按照招标文件规定的格式、内容填写，字迹清晰可辨，内容齐全完整；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a.投标函按招标文件规定填报了项目名称、补遗书编号（如有）、投标价（包括大写金额和小写金额）；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b.投标文件组成齐全完整，内容均按规定填写。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（3）投标报价中的报价未超过招标文件设定的最高投标限价。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（4）投标报价中报价的大写金额能够确定具体数值。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（5）同一投标人未提交两个以上不同的投标报价。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（6）缺陷责任期报价不少于总报价的5%。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2.1.2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资格评审标准</w:t>
            </w:r>
          </w:p>
        </w:tc>
        <w:tc>
          <w:tcPr>
            <w:tcW w:w="736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（1）投标人具备有效的营业执照、监理资质证书和基本账户开户许可证（基本存款账户信息）。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（2）投标人的资质等级符合招标文件规定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（3）投标人的类似项目业绩符合招标文件的规定。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</w:t>
            </w:r>
            <w:r>
              <w:rPr>
                <w:rFonts w:ascii="宋体" w:hAnsi="宋体" w:cs="宋体"/>
                <w:szCs w:val="21"/>
              </w:rPr>
              <w:t>4</w:t>
            </w:r>
            <w:r>
              <w:rPr>
                <w:rFonts w:hint="eastAsia" w:ascii="宋体" w:hAnsi="宋体" w:cs="宋体"/>
                <w:szCs w:val="21"/>
              </w:rPr>
              <w:t>）投标人的信誉符合招标文件规定。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（5）投标人的总监理工程师资格符合招标文件规定。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（6）投标人的其他人员要求符合招标文件规定。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（7）投标人不存在第二章“投标人须知”第1.4.3项或1.4.4项规定的任何一种情形。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2.2.1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分值构成（总分100分）</w:t>
            </w:r>
          </w:p>
        </w:tc>
        <w:tc>
          <w:tcPr>
            <w:tcW w:w="736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第一个信封（商务及技术文件）评分分值构成；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技术建议书：</w:t>
            </w:r>
            <w:r>
              <w:rPr>
                <w:rFonts w:ascii="宋体" w:hAnsi="宋体" w:cs="宋体"/>
                <w:szCs w:val="21"/>
              </w:rPr>
              <w:t>45</w:t>
            </w:r>
            <w:r>
              <w:rPr>
                <w:rFonts w:hint="eastAsia" w:ascii="宋体" w:hAnsi="宋体" w:cs="宋体"/>
                <w:szCs w:val="21"/>
              </w:rPr>
              <w:t>分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主要人员：</w:t>
            </w:r>
            <w:r>
              <w:rPr>
                <w:rFonts w:ascii="宋体" w:hAnsi="宋体" w:cs="宋体"/>
                <w:szCs w:val="21"/>
              </w:rPr>
              <w:t>30</w:t>
            </w:r>
            <w:r>
              <w:rPr>
                <w:rFonts w:hint="eastAsia" w:ascii="宋体" w:hAnsi="宋体" w:cs="宋体"/>
                <w:szCs w:val="21"/>
              </w:rPr>
              <w:t>分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其他因素：</w:t>
            </w:r>
            <w:r>
              <w:rPr>
                <w:rFonts w:ascii="宋体" w:hAnsi="宋体" w:cs="宋体"/>
                <w:szCs w:val="21"/>
              </w:rPr>
              <w:t>15</w:t>
            </w:r>
            <w:r>
              <w:rPr>
                <w:rFonts w:hint="eastAsia" w:ascii="宋体" w:hAnsi="宋体" w:cs="宋体"/>
                <w:szCs w:val="21"/>
              </w:rPr>
              <w:t>分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第二个信封</w:t>
            </w:r>
            <w:r>
              <w:rPr>
                <w:rFonts w:hint="eastAsia" w:ascii="宋体" w:hAnsi="宋体" w:cs="宋体"/>
                <w:szCs w:val="21"/>
              </w:rPr>
              <w:t>（报价文件）评分分值构成：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评标价</w:t>
            </w:r>
            <w:r>
              <w:rPr>
                <w:rFonts w:hint="eastAsia" w:ascii="宋体" w:hAnsi="宋体" w:cs="宋体"/>
                <w:szCs w:val="21"/>
              </w:rPr>
              <w:t>：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10</w:t>
            </w:r>
            <w:r>
              <w:rPr>
                <w:rFonts w:ascii="宋体" w:hAnsi="宋体" w:cs="宋体"/>
                <w:szCs w:val="21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2.2.2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评标基准价计算方法</w:t>
            </w:r>
          </w:p>
        </w:tc>
        <w:tc>
          <w:tcPr>
            <w:tcW w:w="736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评标基准价的计算：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在第二个信封开标现场，招标人将当场计算并宣布评标基准价。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(1)评标价的确定：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评标价=投标函文字报价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(2)评标价平均值的计算：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除按第二章“投标人须知”第</w:t>
            </w:r>
            <w:r>
              <w:rPr>
                <w:rFonts w:ascii="宋体" w:hAnsi="宋体"/>
                <w:szCs w:val="21"/>
              </w:rPr>
              <w:t>5.2.4项规定开标现场被宣布为不</w:t>
            </w:r>
            <w:r>
              <w:rPr>
                <w:rFonts w:hint="eastAsia" w:ascii="宋体" w:hAnsi="宋体"/>
                <w:szCs w:val="21"/>
              </w:rPr>
              <w:t>参加</w:t>
            </w:r>
            <w:r>
              <w:rPr>
                <w:rFonts w:ascii="宋体" w:hAnsi="宋体"/>
                <w:szCs w:val="21"/>
              </w:rPr>
              <w:t>评标基准价计算的投标报价之外，所有投标人的评标价的算术平均值即为评标价平均值。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(3)评标基准价的确定：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a、投标人家数&lt;5时，将评标价平均值直接作为评标基准价（评标基准价保留两位小数，第三位四舍五入）。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b、5</w:t>
            </w:r>
            <w:r>
              <w:rPr>
                <w:rFonts w:ascii="Arial" w:hAnsi="Arial" w:cs="Arial"/>
                <w:szCs w:val="21"/>
              </w:rPr>
              <w:t>≤</w:t>
            </w:r>
            <w:r>
              <w:rPr>
                <w:rFonts w:hint="eastAsia" w:ascii="宋体" w:hAnsi="宋体"/>
                <w:szCs w:val="21"/>
              </w:rPr>
              <w:t>投标人家数&lt;7时，以去掉 1 个最低评标价和 1 个最高评标价后所有评标价的算术平均值为评标基准价（评标基准价保留两位小数，第三位四舍五入）；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C、投标人家数≥7时，以去掉2个最低评标价和 2个最高评标价后所有评标价的算术平均值为评标基准价（评标基准价保留两位小数，第三位四舍五入）；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评标基准价在整个评标过程中保持不变。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当所有投标价都高于招标人投标控制价上限时，招标人将重新招标。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在评标过程中，评标委员会应对招标人计算的评标基准价进行复核，存在计算错误的应予以修正并在评标报告中作出说明。除此之外，评标基准价在整个评标期间保持不变，不随任何因素发生变化。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2.2.3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评标价的偏差率计算公式</w:t>
            </w:r>
          </w:p>
        </w:tc>
        <w:tc>
          <w:tcPr>
            <w:tcW w:w="736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34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偏差率=100%×(投标人评标价-评标基准价)/评标基准价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3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需要补充的其他内容：无</w:t>
            </w:r>
          </w:p>
        </w:tc>
      </w:tr>
    </w:tbl>
    <w:p>
      <w:pPr>
        <w:pStyle w:val="5"/>
        <w:spacing w:line="360" w:lineRule="auto"/>
        <w:rPr>
          <w:rFonts w:hAnsi="宋体"/>
          <w:sz w:val="24"/>
        </w:rPr>
      </w:pPr>
    </w:p>
    <w:p>
      <w:pPr>
        <w:widowControl/>
        <w:jc w:val="left"/>
        <w:rPr>
          <w:rFonts w:ascii="宋体" w:hAnsi="宋体"/>
          <w:sz w:val="24"/>
          <w:szCs w:val="20"/>
        </w:rPr>
      </w:pPr>
      <w:r>
        <w:rPr>
          <w:rFonts w:ascii="宋体" w:hAnsi="宋体"/>
          <w:sz w:val="24"/>
        </w:rPr>
        <w:br w:type="page"/>
      </w:r>
    </w:p>
    <w:p>
      <w:pPr>
        <w:pStyle w:val="5"/>
        <w:spacing w:line="360" w:lineRule="auto"/>
        <w:rPr>
          <w:rFonts w:hAnsi="宋体"/>
          <w:b/>
          <w:szCs w:val="21"/>
        </w:rPr>
      </w:pPr>
      <w:r>
        <w:rPr>
          <w:rFonts w:hint="eastAsia" w:hAnsi="宋体"/>
          <w:sz w:val="24"/>
        </w:rPr>
        <w:t>具体评分标准如下：</w:t>
      </w:r>
    </w:p>
    <w:tbl>
      <w:tblPr>
        <w:tblStyle w:val="8"/>
        <w:tblW w:w="983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2"/>
        <w:gridCol w:w="620"/>
        <w:gridCol w:w="795"/>
        <w:gridCol w:w="435"/>
        <w:gridCol w:w="845"/>
        <w:gridCol w:w="710"/>
        <w:gridCol w:w="584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  <w:jc w:val="center"/>
        </w:trPr>
        <w:tc>
          <w:tcPr>
            <w:tcW w:w="582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条款号</w:t>
            </w:r>
          </w:p>
        </w:tc>
        <w:tc>
          <w:tcPr>
            <w:tcW w:w="620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评审因素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评分因素权重分值</w:t>
            </w:r>
          </w:p>
        </w:tc>
        <w:tc>
          <w:tcPr>
            <w:tcW w:w="128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各评分因素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细分项</w:t>
            </w:r>
          </w:p>
        </w:tc>
        <w:tc>
          <w:tcPr>
            <w:tcW w:w="71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584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评分标准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397" w:hRule="atLeast"/>
          <w:jc w:val="center"/>
        </w:trPr>
        <w:tc>
          <w:tcPr>
            <w:tcW w:w="582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2.2.4（1）</w:t>
            </w:r>
          </w:p>
        </w:tc>
        <w:tc>
          <w:tcPr>
            <w:tcW w:w="620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10"/>
                <w:szCs w:val="21"/>
              </w:rPr>
              <w:t>技术建议书</w:t>
            </w:r>
          </w:p>
        </w:tc>
        <w:tc>
          <w:tcPr>
            <w:tcW w:w="795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435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监理大纲</w:t>
            </w:r>
          </w:p>
        </w:tc>
        <w:tc>
          <w:tcPr>
            <w:tcW w:w="84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对本项目监理工作范围和任务理解</w:t>
            </w:r>
          </w:p>
        </w:tc>
        <w:tc>
          <w:tcPr>
            <w:tcW w:w="71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  <w:r>
              <w:rPr>
                <w:rFonts w:ascii="宋体" w:hAnsi="宋体"/>
                <w:color w:val="000000"/>
                <w:szCs w:val="21"/>
              </w:rPr>
              <w:t>5</w:t>
            </w:r>
            <w:r>
              <w:rPr>
                <w:rFonts w:hint="eastAsia" w:ascii="宋体" w:hAnsi="宋体"/>
                <w:color w:val="000000"/>
                <w:szCs w:val="21"/>
              </w:rPr>
              <w:t>分</w:t>
            </w:r>
          </w:p>
        </w:tc>
        <w:tc>
          <w:tcPr>
            <w:tcW w:w="5848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理解基本准确，得</w:t>
            </w:r>
            <w:r>
              <w:rPr>
                <w:rFonts w:ascii="宋体" w:hAnsi="宋体"/>
                <w:color w:val="000000"/>
                <w:szCs w:val="21"/>
              </w:rPr>
              <w:t>9</w:t>
            </w:r>
            <w:r>
              <w:rPr>
                <w:rFonts w:hint="eastAsia" w:ascii="宋体" w:hAnsi="宋体"/>
                <w:color w:val="000000"/>
                <w:szCs w:val="21"/>
              </w:rPr>
              <w:t>分；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82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2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left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left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理解较准确，思路较清晰，得9－</w:t>
            </w:r>
            <w:r>
              <w:rPr>
                <w:rFonts w:ascii="宋体" w:hAnsi="宋体"/>
                <w:color w:val="000000"/>
                <w:szCs w:val="21"/>
              </w:rPr>
              <w:t>12</w:t>
            </w:r>
            <w:r>
              <w:rPr>
                <w:rFonts w:hint="eastAsia" w:ascii="宋体" w:hAnsi="宋体"/>
                <w:color w:val="000000"/>
                <w:szCs w:val="21"/>
              </w:rPr>
              <w:t>分；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82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2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left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8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left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理解准确，思路清晰，全面、合理，符合项目要求，得</w:t>
            </w:r>
            <w:r>
              <w:rPr>
                <w:rFonts w:ascii="宋体" w:hAnsi="宋体"/>
                <w:color w:val="000000"/>
                <w:szCs w:val="21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</w:rPr>
              <w:t>2－1</w:t>
            </w:r>
            <w:r>
              <w:rPr>
                <w:rFonts w:ascii="宋体" w:hAnsi="宋体"/>
                <w:color w:val="000000"/>
                <w:szCs w:val="21"/>
              </w:rPr>
              <w:t>5</w:t>
            </w:r>
            <w:r>
              <w:rPr>
                <w:rFonts w:hint="eastAsia" w:ascii="宋体" w:hAnsi="宋体"/>
                <w:color w:val="000000"/>
                <w:szCs w:val="21"/>
              </w:rPr>
              <w:t>分；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82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2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left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8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left"/>
              <w:rPr>
                <w:rFonts w:hAnsi="宋体"/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监理工作程序</w:t>
            </w:r>
          </w:p>
        </w:tc>
        <w:tc>
          <w:tcPr>
            <w:tcW w:w="7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Ansi="宋体" w:cs="宋体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1</w:t>
            </w:r>
            <w:r>
              <w:rPr>
                <w:rFonts w:hAnsi="宋体"/>
                <w:color w:val="000000"/>
                <w:szCs w:val="21"/>
              </w:rPr>
              <w:t>0</w:t>
            </w:r>
            <w:r>
              <w:rPr>
                <w:rFonts w:hint="eastAsia" w:hAnsi="宋体"/>
                <w:color w:val="000000"/>
                <w:szCs w:val="21"/>
              </w:rPr>
              <w:t>分</w:t>
            </w:r>
          </w:p>
        </w:tc>
        <w:tc>
          <w:tcPr>
            <w:tcW w:w="5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内容基本齐全，阶段划分基本合理，可实施性一般，得</w:t>
            </w:r>
            <w:r>
              <w:rPr>
                <w:rFonts w:ascii="宋体" w:hAnsi="宋体"/>
                <w:color w:val="000000"/>
                <w:szCs w:val="21"/>
              </w:rPr>
              <w:t>6</w:t>
            </w:r>
            <w:r>
              <w:rPr>
                <w:rFonts w:hint="eastAsia" w:ascii="宋体" w:hAnsi="宋体"/>
                <w:color w:val="000000"/>
                <w:szCs w:val="21"/>
              </w:rPr>
              <w:t>分；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82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2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left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left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内容较齐全，阶段划分较合理，可实施性较好，得6－</w:t>
            </w:r>
            <w:r>
              <w:rPr>
                <w:rFonts w:ascii="宋体" w:hAnsi="宋体"/>
                <w:color w:val="000000"/>
                <w:szCs w:val="21"/>
              </w:rPr>
              <w:t>8</w:t>
            </w:r>
            <w:r>
              <w:rPr>
                <w:rFonts w:hint="eastAsia" w:ascii="宋体" w:hAnsi="宋体"/>
                <w:color w:val="000000"/>
                <w:szCs w:val="21"/>
              </w:rPr>
              <w:t>分；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82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2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5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内容齐全，阶段划分合理、正确，可实施性强，得8－1</w:t>
            </w:r>
            <w:r>
              <w:rPr>
                <w:rFonts w:ascii="宋体" w:hAnsi="宋体"/>
                <w:color w:val="000000"/>
                <w:szCs w:val="21"/>
              </w:rPr>
              <w:t>0</w:t>
            </w:r>
            <w:r>
              <w:rPr>
                <w:rFonts w:hint="eastAsia" w:ascii="宋体" w:hAnsi="宋体"/>
                <w:color w:val="000000"/>
                <w:szCs w:val="21"/>
              </w:rPr>
              <w:t>分；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82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2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0" w:type="dxa"/>
            <w:gridSpan w:val="2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本工程监理工作的</w:t>
            </w:r>
            <w:r>
              <w:rPr>
                <w:rFonts w:ascii="宋体" w:hAnsi="宋体"/>
                <w:color w:val="000000"/>
                <w:spacing w:val="-12"/>
                <w:szCs w:val="21"/>
              </w:rPr>
              <w:t>重点与难点分析</w:t>
            </w:r>
          </w:p>
        </w:tc>
        <w:tc>
          <w:tcPr>
            <w:tcW w:w="7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12"/>
                <w:szCs w:val="21"/>
              </w:rPr>
              <w:t>1</w:t>
            </w:r>
            <w:r>
              <w:rPr>
                <w:rFonts w:ascii="宋体" w:hAnsi="宋体"/>
                <w:color w:val="000000"/>
                <w:spacing w:val="-12"/>
                <w:szCs w:val="21"/>
              </w:rPr>
              <w:t>0</w:t>
            </w:r>
            <w:r>
              <w:rPr>
                <w:rFonts w:hint="eastAsia" w:ascii="宋体" w:hAnsi="宋体"/>
                <w:color w:val="000000"/>
                <w:spacing w:val="-12"/>
                <w:szCs w:val="21"/>
              </w:rPr>
              <w:t>分</w:t>
            </w:r>
          </w:p>
        </w:tc>
        <w:tc>
          <w:tcPr>
            <w:tcW w:w="5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分析一般，对难点、重点把握一般；处理措施基本合理，基本可行，得</w:t>
            </w:r>
            <w:r>
              <w:rPr>
                <w:rFonts w:ascii="宋体" w:hAnsi="宋体"/>
                <w:color w:val="000000"/>
                <w:szCs w:val="21"/>
              </w:rPr>
              <w:t>6</w:t>
            </w:r>
            <w:r>
              <w:rPr>
                <w:rFonts w:hint="eastAsia" w:ascii="宋体" w:hAnsi="宋体"/>
                <w:color w:val="000000"/>
                <w:szCs w:val="21"/>
              </w:rPr>
              <w:t>分；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82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2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分析较透彻，对难点、重点把握较准确；处理措施合理，可行，得6－</w:t>
            </w:r>
            <w:r>
              <w:rPr>
                <w:rFonts w:ascii="宋体" w:hAnsi="宋体"/>
                <w:color w:val="000000"/>
                <w:szCs w:val="21"/>
              </w:rPr>
              <w:t>8</w:t>
            </w:r>
            <w:r>
              <w:rPr>
                <w:rFonts w:hint="eastAsia" w:ascii="宋体" w:hAnsi="宋体"/>
                <w:color w:val="000000"/>
                <w:szCs w:val="21"/>
              </w:rPr>
              <w:t>分；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567" w:hRule="atLeast"/>
          <w:jc w:val="center"/>
        </w:trPr>
        <w:tc>
          <w:tcPr>
            <w:tcW w:w="582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2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0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分析透彻，对难点、重点把握准确；处理措施科学合理，有效可行，得8－1</w:t>
            </w:r>
            <w:r>
              <w:rPr>
                <w:rFonts w:ascii="宋体" w:hAnsi="宋体"/>
                <w:color w:val="000000"/>
                <w:szCs w:val="21"/>
              </w:rPr>
              <w:t>0</w:t>
            </w:r>
            <w:r>
              <w:rPr>
                <w:rFonts w:hint="eastAsia" w:ascii="宋体" w:hAnsi="宋体"/>
                <w:color w:val="000000"/>
                <w:szCs w:val="21"/>
              </w:rPr>
              <w:t>分；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397" w:hRule="atLeast"/>
          <w:jc w:val="center"/>
        </w:trPr>
        <w:tc>
          <w:tcPr>
            <w:tcW w:w="582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2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0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对本工程的建议</w:t>
            </w:r>
          </w:p>
        </w:tc>
        <w:tc>
          <w:tcPr>
            <w:tcW w:w="7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  <w:r>
              <w:rPr>
                <w:rFonts w:ascii="宋体" w:hAnsi="宋体"/>
                <w:color w:val="000000"/>
                <w:szCs w:val="21"/>
              </w:rPr>
              <w:t>0</w:t>
            </w:r>
            <w:r>
              <w:rPr>
                <w:rFonts w:hint="eastAsia" w:ascii="宋体" w:hAnsi="宋体"/>
                <w:color w:val="000000"/>
                <w:szCs w:val="21"/>
              </w:rPr>
              <w:t>分</w:t>
            </w:r>
          </w:p>
        </w:tc>
        <w:tc>
          <w:tcPr>
            <w:tcW w:w="5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建议措施基本全面、合理，可实施性一般，得</w:t>
            </w:r>
            <w:r>
              <w:rPr>
                <w:rFonts w:ascii="宋体" w:hAnsi="宋体"/>
                <w:color w:val="000000"/>
                <w:szCs w:val="21"/>
              </w:rPr>
              <w:t>6</w:t>
            </w:r>
            <w:r>
              <w:rPr>
                <w:rFonts w:hint="eastAsia" w:ascii="宋体" w:hAnsi="宋体"/>
                <w:color w:val="000000"/>
                <w:szCs w:val="21"/>
              </w:rPr>
              <w:t>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82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2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建议措施全面、合理，可实施性较好，得6－</w:t>
            </w:r>
            <w:r>
              <w:rPr>
                <w:rFonts w:ascii="宋体" w:hAnsi="宋体"/>
                <w:color w:val="000000"/>
                <w:szCs w:val="21"/>
              </w:rPr>
              <w:t>8</w:t>
            </w:r>
            <w:r>
              <w:rPr>
                <w:rFonts w:hint="eastAsia" w:ascii="宋体" w:hAnsi="宋体"/>
                <w:color w:val="000000"/>
                <w:szCs w:val="21"/>
              </w:rPr>
              <w:t>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397" w:hRule="atLeast"/>
          <w:jc w:val="center"/>
        </w:trPr>
        <w:tc>
          <w:tcPr>
            <w:tcW w:w="582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2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848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建议措施具体全面、可靠、合理，可实施性强，得8－1</w:t>
            </w:r>
            <w:r>
              <w:rPr>
                <w:rFonts w:ascii="宋体" w:hAnsi="宋体"/>
                <w:color w:val="000000"/>
                <w:szCs w:val="21"/>
              </w:rPr>
              <w:t>0</w:t>
            </w:r>
            <w:r>
              <w:rPr>
                <w:rFonts w:hint="eastAsia" w:ascii="宋体" w:hAnsi="宋体"/>
                <w:color w:val="000000"/>
                <w:szCs w:val="21"/>
              </w:rPr>
              <w:t>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514" w:hRule="atLeast"/>
          <w:jc w:val="center"/>
        </w:trPr>
        <w:tc>
          <w:tcPr>
            <w:tcW w:w="582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2.2.4（2）</w:t>
            </w:r>
          </w:p>
        </w:tc>
        <w:tc>
          <w:tcPr>
            <w:tcW w:w="620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主要人员</w:t>
            </w:r>
          </w:p>
        </w:tc>
        <w:tc>
          <w:tcPr>
            <w:tcW w:w="795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1280" w:type="dxa"/>
            <w:gridSpan w:val="2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总监理工程师</w:t>
            </w:r>
          </w:p>
        </w:tc>
        <w:tc>
          <w:tcPr>
            <w:tcW w:w="710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20分</w:t>
            </w:r>
          </w:p>
        </w:tc>
        <w:tc>
          <w:tcPr>
            <w:tcW w:w="584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满足招标文件资格审查强制性要求得12分；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582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2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0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84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近10年（2012年9月1日至今，以交（竣）工验收证书或项目评定书上时间为准），每担任过一项已完成的水运工程（含10万平米及以上地基处理）项目的总监理工程师得4分，最高得8分。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582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2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0" w:type="dxa"/>
            <w:gridSpan w:val="2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其他主要监理人员</w:t>
            </w:r>
          </w:p>
        </w:tc>
        <w:tc>
          <w:tcPr>
            <w:tcW w:w="710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10分</w:t>
            </w:r>
          </w:p>
        </w:tc>
        <w:tc>
          <w:tcPr>
            <w:tcW w:w="584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</w:rPr>
              <w:t>满足招标文件项目配备人员基础得6分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；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582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2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0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84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每增加一名具有工程师及以上技术职称的人员加2分，最高得4</w:t>
            </w:r>
            <w:r>
              <w:rPr>
                <w:rFonts w:ascii="宋体" w:hAnsi="宋体" w:cs="宋体"/>
                <w:color w:val="000000"/>
              </w:rPr>
              <w:t>分。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82" w:type="dxa"/>
            <w:noWrap w:val="0"/>
            <w:vAlign w:val="center"/>
          </w:tcPr>
          <w:p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2.2.4（3）</w:t>
            </w:r>
          </w:p>
        </w:tc>
        <w:tc>
          <w:tcPr>
            <w:tcW w:w="620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评标价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10分</w:t>
            </w:r>
          </w:p>
        </w:tc>
        <w:tc>
          <w:tcPr>
            <w:tcW w:w="7838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评标价</w:t>
            </w:r>
            <w:r>
              <w:rPr>
                <w:rFonts w:hint="eastAsia" w:ascii="宋体" w:hAnsi="宋体"/>
                <w:color w:val="000000"/>
                <w:szCs w:val="21"/>
              </w:rPr>
              <w:t>得分计算公式示例：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（1）如果投标人的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评标价</w:t>
            </w:r>
            <w:r>
              <w:rPr>
                <w:rFonts w:hint="eastAsia" w:ascii="宋体" w:hAnsi="宋体"/>
                <w:color w:val="000000"/>
                <w:szCs w:val="21"/>
              </w:rPr>
              <w:t>＞评标基准价，则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评标价</w:t>
            </w:r>
            <w:r>
              <w:rPr>
                <w:rFonts w:hint="eastAsia" w:ascii="宋体" w:hAnsi="宋体"/>
                <w:color w:val="000000"/>
                <w:szCs w:val="21"/>
              </w:rPr>
              <w:t>得分=F-（投标人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评标价</w:t>
            </w:r>
            <w:r>
              <w:rPr>
                <w:rFonts w:hint="eastAsia" w:ascii="宋体" w:hAnsi="宋体"/>
                <w:color w:val="000000"/>
                <w:szCs w:val="21"/>
              </w:rPr>
              <w:t>-评标基准价）/评标基准价×100×E1；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（2）如果投标人的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评标价</w:t>
            </w:r>
            <w:r>
              <w:rPr>
                <w:rFonts w:hint="eastAsia" w:ascii="宋体" w:hAnsi="宋体"/>
                <w:color w:val="000000"/>
                <w:szCs w:val="21"/>
              </w:rPr>
              <w:t>≤评标基准价，则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评标价</w:t>
            </w:r>
            <w:r>
              <w:rPr>
                <w:rFonts w:hint="eastAsia" w:ascii="宋体" w:hAnsi="宋体"/>
                <w:color w:val="000000"/>
                <w:szCs w:val="21"/>
              </w:rPr>
              <w:t>得分=F+(投标人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评标价</w:t>
            </w:r>
            <w:r>
              <w:rPr>
                <w:rFonts w:hint="eastAsia" w:ascii="宋体" w:hAnsi="宋体"/>
                <w:color w:val="000000"/>
                <w:szCs w:val="21"/>
              </w:rPr>
              <w:t>-评标基准价)/评标基准价×100×E2。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其中，F=10；E1=0.2；E2=0.1；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评标价</w:t>
            </w:r>
            <w:r>
              <w:rPr>
                <w:rFonts w:hint="eastAsia" w:ascii="宋体" w:hAnsi="宋体"/>
                <w:color w:val="000000"/>
                <w:szCs w:val="21"/>
              </w:rPr>
              <w:t>最低得分为0分。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82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2.2.4（4）</w:t>
            </w:r>
          </w:p>
        </w:tc>
        <w:tc>
          <w:tcPr>
            <w:tcW w:w="62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因素</w:t>
            </w:r>
          </w:p>
        </w:tc>
        <w:tc>
          <w:tcPr>
            <w:tcW w:w="795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1280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类似项目业绩</w:t>
            </w:r>
          </w:p>
        </w:tc>
        <w:tc>
          <w:tcPr>
            <w:tcW w:w="71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  <w:r>
              <w:rPr>
                <w:rFonts w:ascii="宋体" w:hAnsi="宋体"/>
                <w:color w:val="000000"/>
                <w:szCs w:val="21"/>
              </w:rPr>
              <w:t>0</w:t>
            </w:r>
            <w:r>
              <w:rPr>
                <w:rFonts w:hint="eastAsia" w:ascii="宋体" w:hAnsi="宋体"/>
                <w:color w:val="000000"/>
                <w:szCs w:val="21"/>
              </w:rPr>
              <w:t>分</w:t>
            </w:r>
          </w:p>
        </w:tc>
        <w:tc>
          <w:tcPr>
            <w:tcW w:w="5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满足资格审查业绩最低要求得</w:t>
            </w:r>
            <w:r>
              <w:rPr>
                <w:rFonts w:ascii="宋体" w:hAnsi="宋体"/>
                <w:color w:val="000000"/>
                <w:szCs w:val="21"/>
              </w:rPr>
              <w:t>6</w:t>
            </w:r>
            <w:r>
              <w:rPr>
                <w:rFonts w:hint="eastAsia" w:ascii="宋体" w:hAnsi="宋体"/>
                <w:color w:val="000000"/>
                <w:szCs w:val="21"/>
              </w:rPr>
              <w:t>分；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465" w:hRule="atLeast"/>
          <w:jc w:val="center"/>
        </w:trPr>
        <w:tc>
          <w:tcPr>
            <w:tcW w:w="582" w:type="dxa"/>
            <w:vMerge w:val="continue"/>
            <w:noWrap w:val="0"/>
            <w:vAlign w:val="center"/>
          </w:tcPr>
          <w:p>
            <w:pPr>
              <w:jc w:val="left"/>
            </w:pPr>
          </w:p>
        </w:tc>
        <w:tc>
          <w:tcPr>
            <w:tcW w:w="62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</w:pPr>
          </w:p>
        </w:tc>
        <w:tc>
          <w:tcPr>
            <w:tcW w:w="79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left"/>
            </w:pPr>
          </w:p>
        </w:tc>
        <w:tc>
          <w:tcPr>
            <w:tcW w:w="128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</w:pPr>
          </w:p>
        </w:tc>
        <w:tc>
          <w:tcPr>
            <w:tcW w:w="71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</w:pPr>
          </w:p>
        </w:tc>
        <w:tc>
          <w:tcPr>
            <w:tcW w:w="5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满足资格审查的基础上，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每增加一项</w:t>
            </w:r>
            <w:r>
              <w:rPr>
                <w:rFonts w:hint="eastAsia" w:ascii="宋体" w:hAnsi="宋体"/>
                <w:color w:val="000000"/>
                <w:szCs w:val="21"/>
              </w:rPr>
              <w:t>资格审查业绩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得</w:t>
            </w:r>
            <w:r>
              <w:rPr>
                <w:rFonts w:hAnsi="宋体"/>
                <w:color w:val="000000"/>
                <w:kern w:val="0"/>
                <w:szCs w:val="21"/>
              </w:rPr>
              <w:t>2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分，最高得</w:t>
            </w:r>
            <w:r>
              <w:rPr>
                <w:rFonts w:hAnsi="宋体"/>
                <w:color w:val="000000"/>
                <w:kern w:val="0"/>
                <w:szCs w:val="21"/>
              </w:rPr>
              <w:t>4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分。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582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2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9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荣誉</w:t>
            </w:r>
          </w:p>
        </w:tc>
        <w:tc>
          <w:tcPr>
            <w:tcW w:w="71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5848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投标人近5年（2017年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月1日至今）承监过的水运工程项目每获得过一项</w:t>
            </w:r>
            <w:r>
              <w:rPr>
                <w:rFonts w:hint="eastAsia" w:hAnsi="宋体"/>
                <w:szCs w:val="21"/>
              </w:rPr>
              <w:t>国家级奖项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得2分，每获得过一项</w:t>
            </w:r>
            <w:r>
              <w:rPr>
                <w:rFonts w:hint="eastAsia" w:hAnsi="宋体"/>
                <w:szCs w:val="21"/>
              </w:rPr>
              <w:t>省级或部级奖项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得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分，本项最高得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分。</w:t>
            </w:r>
            <w:r>
              <w:rPr>
                <w:rFonts w:hAnsi="宋体" w:cs="宋体"/>
                <w:color w:val="000000"/>
                <w:kern w:val="0"/>
                <w:szCs w:val="21"/>
              </w:rPr>
              <w:t>（时间以获奖证书扫描件或获奖公示文件或网上获奖公示截图为准</w:t>
            </w:r>
            <w:r>
              <w:rPr>
                <w:rFonts w:hint="eastAsia" w:hAnsi="宋体" w:cs="宋体"/>
                <w:color w:val="000000"/>
                <w:kern w:val="0"/>
                <w:szCs w:val="21"/>
              </w:rPr>
              <w:t>，除提供获奖证书扫描件或获奖公示文件或网上获奖公示截图外，还需提供投标人承监过获奖项目的监理合同；同一业绩奖项以一项获奖计</w:t>
            </w:r>
            <w:r>
              <w:rPr>
                <w:rFonts w:hAnsi="宋体" w:cs="宋体"/>
                <w:color w:val="000000"/>
                <w:kern w:val="0"/>
                <w:szCs w:val="21"/>
              </w:rPr>
              <w:t>）</w:t>
            </w:r>
            <w:r>
              <w:rPr>
                <w:rFonts w:hint="eastAsia" w:hAnsi="宋体" w:cs="宋体"/>
                <w:color w:val="000000"/>
                <w:kern w:val="0"/>
                <w:szCs w:val="21"/>
              </w:rPr>
              <w:t>。</w:t>
            </w:r>
          </w:p>
        </w:tc>
      </w:tr>
    </w:tbl>
    <w:p>
      <w:pPr>
        <w:spacing w:line="360" w:lineRule="auto"/>
        <w:ind w:left="0" w:leftChars="0" w:right="-733" w:rightChars="-349" w:firstLine="0" w:firstLineChars="0"/>
        <w:rPr>
          <w:rFonts w:ascii="宋体" w:hAnsi="宋体"/>
          <w:b/>
          <w:spacing w:val="2"/>
          <w:szCs w:val="21"/>
        </w:rPr>
      </w:pPr>
      <w:r>
        <w:rPr>
          <w:rFonts w:hint="eastAsia" w:ascii="宋体" w:hAnsi="宋体"/>
          <w:b/>
          <w:spacing w:val="2"/>
          <w:szCs w:val="21"/>
        </w:rPr>
        <w:t>注：1、类似业绩：</w:t>
      </w:r>
      <w:r>
        <w:rPr>
          <w:rFonts w:hint="eastAsia" w:ascii="宋体" w:hAnsi="宋体" w:cs="宋体"/>
          <w:b/>
          <w:szCs w:val="21"/>
        </w:rPr>
        <w:t>近10年（2012年9月1日至今，以交（竣）工验收证书或项目评定书上时间为准）具有一项已完成的水运工程（含地基处理）的监理业绩；</w:t>
      </w:r>
    </w:p>
    <w:p>
      <w:pPr>
        <w:pStyle w:val="5"/>
        <w:spacing w:line="360" w:lineRule="auto"/>
        <w:ind w:right="-512" w:rightChars="-244" w:firstLine="430" w:firstLineChars="200"/>
        <w:rPr>
          <w:rFonts w:hAnsi="宋体"/>
          <w:b/>
          <w:spacing w:val="2"/>
          <w:szCs w:val="21"/>
        </w:rPr>
      </w:pPr>
      <w:r>
        <w:rPr>
          <w:rFonts w:hint="eastAsia" w:hAnsi="宋体"/>
          <w:b/>
          <w:spacing w:val="2"/>
          <w:szCs w:val="21"/>
        </w:rPr>
        <w:t>以上业绩均须同时提供业绩中标通知书（如有）、合同协议书、交（竣）工验收证书</w:t>
      </w:r>
      <w:r>
        <w:rPr>
          <w:rFonts w:hint="eastAsia" w:hAnsi="宋体" w:cs="宋体"/>
          <w:b/>
          <w:szCs w:val="21"/>
        </w:rPr>
        <w:t>或项目评定书</w:t>
      </w:r>
      <w:r>
        <w:rPr>
          <w:rFonts w:hint="eastAsia" w:hAnsi="宋体"/>
          <w:b/>
          <w:spacing w:val="2"/>
          <w:szCs w:val="21"/>
        </w:rPr>
        <w:t>，以上材料不能体现项目规模、承包范围的，须提供发包人证明材料证明，但投标人自身出具的证明无效。未完全提供业绩证明材料的，不予认可。</w:t>
      </w:r>
    </w:p>
    <w:p>
      <w:pPr>
        <w:pStyle w:val="5"/>
        <w:spacing w:line="360" w:lineRule="auto"/>
        <w:ind w:right="-733" w:rightChars="-349" w:firstLine="422" w:firstLineChars="200"/>
        <w:rPr>
          <w:rFonts w:hAnsi="宋体"/>
          <w:b/>
          <w:spacing w:val="2"/>
          <w:szCs w:val="21"/>
        </w:rPr>
      </w:pPr>
      <w:r>
        <w:rPr>
          <w:rFonts w:hint="eastAsia"/>
          <w:b/>
          <w:szCs w:val="21"/>
        </w:rPr>
        <w:t>总监理工程师业绩：应提供</w:t>
      </w:r>
      <w:r>
        <w:rPr>
          <w:rFonts w:hint="eastAsia" w:hAnsi="宋体"/>
          <w:b/>
          <w:spacing w:val="2"/>
          <w:szCs w:val="21"/>
        </w:rPr>
        <w:t>中标通知书（如有）、合同协议书</w:t>
      </w:r>
      <w:r>
        <w:rPr>
          <w:rFonts w:hint="eastAsia"/>
          <w:b/>
          <w:szCs w:val="21"/>
        </w:rPr>
        <w:t>、交（竣）工</w:t>
      </w:r>
      <w:r>
        <w:rPr>
          <w:rFonts w:hint="eastAsia" w:hAnsi="宋体"/>
          <w:b/>
          <w:spacing w:val="2"/>
          <w:szCs w:val="21"/>
        </w:rPr>
        <w:t>验收证书</w:t>
      </w:r>
      <w:r>
        <w:rPr>
          <w:rFonts w:hint="eastAsia"/>
          <w:b/>
          <w:szCs w:val="21"/>
        </w:rPr>
        <w:t>或项目评定书，以上资料需能体现拟投入的总监理工程师姓名及相应岗位，若不能体现，应提供其他证明资料（本单位出具的证明材料无效）。</w:t>
      </w:r>
    </w:p>
    <w:p>
      <w:pPr>
        <w:pStyle w:val="5"/>
        <w:spacing w:line="360" w:lineRule="auto"/>
        <w:ind w:firstLine="215" w:firstLineChars="100"/>
        <w:rPr>
          <w:rFonts w:hAnsi="宋体"/>
          <w:b/>
          <w:color w:val="FF0000"/>
          <w:spacing w:val="2"/>
          <w:szCs w:val="21"/>
        </w:rPr>
      </w:pPr>
      <w:r>
        <w:rPr>
          <w:rFonts w:hint="eastAsia" w:hAnsi="宋体"/>
          <w:b/>
          <w:spacing w:val="2"/>
          <w:szCs w:val="21"/>
        </w:rPr>
        <w:t>2、投标文件须提供以上资格证书、获奖证书扫描件或截图。</w:t>
      </w:r>
    </w:p>
    <w:p>
      <w:pPr>
        <w:pStyle w:val="3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yYjJjOWQzYzk4NmQ3ZDUzNzYzM2U4OTcxNDZiODAifQ=="/>
  </w:docVars>
  <w:rsids>
    <w:rsidRoot w:val="1C335521"/>
    <w:rsid w:val="0F5349A4"/>
    <w:rsid w:val="1C335521"/>
    <w:rsid w:val="1E812812"/>
    <w:rsid w:val="359036FD"/>
    <w:rsid w:val="5566289E"/>
    <w:rsid w:val="58386AE2"/>
    <w:rsid w:val="7FAB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2"/>
    <w:basedOn w:val="1"/>
    <w:qFormat/>
    <w:uiPriority w:val="0"/>
    <w:pPr>
      <w:spacing w:line="540" w:lineRule="exact"/>
    </w:pPr>
    <w:rPr>
      <w:color w:val="FF0000"/>
      <w:kern w:val="2"/>
      <w:sz w:val="21"/>
      <w:szCs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FF"/>
      <w:kern w:val="0"/>
      <w:sz w:val="24"/>
    </w:rPr>
  </w:style>
  <w:style w:type="paragraph" w:styleId="7">
    <w:name w:val="Body Text First Indent"/>
    <w:basedOn w:val="2"/>
    <w:next w:val="1"/>
    <w:unhideWhenUsed/>
    <w:qFormat/>
    <w:uiPriority w:val="99"/>
    <w:pPr>
      <w:spacing w:after="120" w:line="240" w:lineRule="auto"/>
      <w:ind w:firstLine="420" w:firstLineChars="100"/>
    </w:pPr>
    <w:rPr>
      <w:rFonts w:ascii="Calibri" w:hAnsi="Calibri" w:eastAsia="宋体" w:cs="Times New Roman"/>
      <w:color w:val="auto"/>
      <w:sz w:val="22"/>
      <w:szCs w:val="22"/>
      <w:lang w:bidi="ar-SA"/>
    </w:rPr>
  </w:style>
  <w:style w:type="paragraph" w:customStyle="1" w:styleId="10">
    <w:name w:val="样式30"/>
    <w:basedOn w:val="4"/>
    <w:qFormat/>
    <w:uiPriority w:val="0"/>
    <w:pPr>
      <w:spacing w:before="0" w:after="0" w:line="360" w:lineRule="auto"/>
      <w:ind w:firstLine="200" w:firstLineChars="200"/>
    </w:pPr>
    <w:rPr>
      <w:sz w:val="24"/>
    </w:rPr>
  </w:style>
  <w:style w:type="paragraph" w:customStyle="1" w:styleId="11">
    <w:name w:val="明显引用1"/>
    <w:next w:val="1"/>
    <w:qFormat/>
    <w:uiPriority w:val="0"/>
    <w:pPr>
      <w:wordWrap w:val="0"/>
      <w:spacing w:before="360" w:after="360"/>
      <w:ind w:left="950" w:right="950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6377</Words>
  <Characters>6892</Characters>
  <Lines>0</Lines>
  <Paragraphs>0</Paragraphs>
  <TotalTime>10</TotalTime>
  <ScaleCrop>false</ScaleCrop>
  <LinksUpToDate>false</LinksUpToDate>
  <CharactersWithSpaces>6971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2022-09-07T08:36:00Z</dcterms:created>
  <dc:creator>孩儿爹</dc:creator>
  <cp:lastModifiedBy>孩儿爹</cp:lastModifiedBy>
  <dcterms:modified xsi:type="dcterms:W3CDTF">2022-09-07T12:00:10Z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5233629D45F74297A592972793FF0996</vt:lpwstr>
  </property>
</Properties>
</file>