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</w:rPr>
      </w:pPr>
      <w:bookmarkStart w:id="0" w:name="_Toc8820741"/>
      <w:bookmarkStart w:id="1" w:name="_Toc510363129"/>
      <w:r>
        <w:rPr>
          <w:rFonts w:hint="eastAsia" w:cs="宋体" w:asciiTheme="minorEastAsia" w:hAnsiTheme="minorEastAsia" w:eastAsiaTheme="minorEastAsia"/>
          <w:b/>
          <w:bCs/>
          <w:sz w:val="30"/>
          <w:szCs w:val="30"/>
          <w:lang w:val="en-US" w:eastAsia="zh-CN"/>
        </w:rPr>
        <w:t xml:space="preserve"> </w:t>
      </w:r>
      <w:bookmarkEnd w:id="0"/>
      <w:bookmarkEnd w:id="1"/>
      <w:r>
        <w:rPr>
          <w:rFonts w:hint="eastAsia" w:ascii="宋体" w:hAnsi="宋体"/>
          <w:b/>
          <w:sz w:val="24"/>
        </w:rPr>
        <w:t>附件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：评标</w:t>
      </w:r>
      <w:bookmarkStart w:id="3" w:name="_GoBack"/>
      <w:bookmarkEnd w:id="3"/>
      <w:r>
        <w:rPr>
          <w:rFonts w:hint="eastAsia" w:ascii="宋体" w:hAnsi="宋体"/>
          <w:b/>
          <w:sz w:val="24"/>
        </w:rPr>
        <w:t>办法</w:t>
      </w:r>
    </w:p>
    <w:p>
      <w:pPr>
        <w:pStyle w:val="3"/>
        <w:rPr>
          <w:rFonts w:hint="eastAsia"/>
        </w:rPr>
      </w:pPr>
      <w:r>
        <w:rPr>
          <w:rFonts w:hint="eastAsia" w:asciiTheme="minorEastAsia" w:hAnsiTheme="minorEastAsia" w:eastAsiaTheme="minorEastAsia"/>
          <w:b/>
          <w:spacing w:val="2"/>
          <w:kern w:val="0"/>
          <w:sz w:val="24"/>
        </w:rPr>
        <w:t>评标</w:t>
      </w:r>
      <w:r>
        <w:rPr>
          <w:rFonts w:hint="eastAsia" w:asciiTheme="minorEastAsia" w:hAnsiTheme="minorEastAsia" w:eastAsiaTheme="minorEastAsia"/>
          <w:b/>
          <w:kern w:val="0"/>
          <w:sz w:val="24"/>
        </w:rPr>
        <w:t>办法前附表</w:t>
      </w:r>
    </w:p>
    <w:tbl>
      <w:tblPr>
        <w:tblStyle w:val="9"/>
        <w:tblpPr w:leftFromText="180" w:rightFromText="180" w:vertAnchor="text" w:horzAnchor="page" w:tblpX="1022" w:tblpY="508"/>
        <w:tblOverlap w:val="never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91"/>
        <w:gridCol w:w="7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条款号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条款名称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评审因素与评审标准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评标办法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本次评标采用综合评估法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评标委员会对满足招标文件实质性要求的投标文件，按照本章第</w:t>
            </w:r>
            <w:r>
              <w:rPr>
                <w:szCs w:val="21"/>
                <w:lang w:bidi="en-US"/>
              </w:rPr>
              <w:t>2.2</w:t>
            </w:r>
            <w:r>
              <w:rPr>
                <w:szCs w:val="21"/>
              </w:rPr>
              <w:t>款规定的评分标准进行打分，并按得分由高到低顺序推荐</w:t>
            </w:r>
            <w:r>
              <w:rPr>
                <w:rFonts w:hint="eastAsia"/>
                <w:szCs w:val="21"/>
                <w:lang w:val="en-US" w:eastAsia="zh-CN"/>
              </w:rPr>
              <w:t>名</w:t>
            </w:r>
            <w:r>
              <w:rPr>
                <w:szCs w:val="21"/>
              </w:rPr>
              <w:t>中标候选人</w:t>
            </w:r>
            <w:r>
              <w:rPr>
                <w:rFonts w:hint="eastAsia" w:ascii="宋体" w:hAnsi="宋体"/>
                <w:szCs w:val="21"/>
              </w:rPr>
              <w:t>综合评分相等时，评标委员会依次按照以下优先顺序推荐中标候选人：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（1）评标价低的投标人优先；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（2）</w:t>
            </w:r>
            <w:r>
              <w:rPr>
                <w:rFonts w:asciiTheme="minorEastAsia" w:hAnsiTheme="minorEastAsia" w:eastAsiaTheme="minorEastAsia"/>
                <w:szCs w:val="21"/>
              </w:rPr>
              <w:t>技术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建议书</w:t>
            </w:r>
            <w:r>
              <w:rPr>
                <w:rFonts w:asciiTheme="minorEastAsia" w:hAnsiTheme="minorEastAsia" w:eastAsiaTheme="minorEastAsia"/>
                <w:szCs w:val="21"/>
              </w:rPr>
              <w:t>得分较高的投标人优先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（3）投标人业绩累计金额高的优先；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2.1.1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2.1.3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形式评审与响应性评审标准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第一个信封（商务及技术文件）评审标准：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（1）投标文件按照招标文件规定的格式、内容填写，清晰可辨：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a.投标函按招标文件规定填报了项目名称、补遗书编号（如有）、总项目负责人姓名、年龄、职务、证书、检测、监测服务期限、工程质量及安全目标；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b.投标文件组成齐全完整，内容均按规定填写；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（2）投标文件上法定代表人或其委托代理人的签字、投标人的单位盖章齐全，符合招标文件规定；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（3）投标人按照招标文件的规定提供了投标保证金：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a.投标保证金金额符合招标文件规定的金额，且投标保证金有效期不少于投标有效期；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b.若投标保证金采用电汇或转账形式提交，投标人应在递交投标文件截止时间之前，将投标保证金由投标人的基本账户转入招标人指定账户；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c.若投标保证金采用银行保函形式提交，银行保函的格式、开具保函的银行均满足招标文件要求。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（4）投标人未以联合体形式投标。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（5）投标人未提交两个以上不同的投标文件。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（6）投标文件中未出现有关投标报价的内容。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（7）投标文件载明的招标项目完成期限未超过招标文件规定的时限。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（8）投标文件对招标文件的实质性要求和条件作出响应。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（9）权利义务符合招标文件规定：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a.投标人应接受招标文件规定的风险划分原则，未提出新的风险划分办法；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b.投标人未增加发包人的责任范围，或减少投标人义务；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c.投标人未提出不同的支付办法；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d.投标人对合同纠纷、事故处理办法未提出异议；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e.投标人在投标活动中无欺诈行为；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f.投标人未对合同条款有重要保留。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第二个信封（报价文件）评审标准：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（1）投标文件上法定代表人或其委托代理人的签字、投标人的单位盖章齐全，符合招标文件规定；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（2）报价文件按照招标文件规定的格式、内容填写，字迹清晰可辨，内容齐全完整；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a.投标函按招标文件规定填报了项目名称、标段号、补遗书编号（如有）、投标价（包括大写金额和小写金额）；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b.投标文件组成齐全完整，内容均按规定填写。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（3）投标报价中的报价未超过招标文件设定的最高投标限价。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（4）投标报价中报价的大写金额能够确定具体数值。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（5）同一投标人未提交两个以上不同的投标报价。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2.1.2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资格评审标准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（1）投标人具备有效的营业执照、</w:t>
            </w:r>
            <w:r>
              <w:rPr>
                <w:rFonts w:hint="eastAsia" w:ascii="宋体" w:hAnsi="宋体"/>
                <w:szCs w:val="21"/>
              </w:rPr>
              <w:t>检测、监测</w:t>
            </w:r>
            <w:r>
              <w:rPr>
                <w:rFonts w:hint="eastAsia" w:ascii="宋体" w:hAnsi="宋体" w:cs="宋体"/>
                <w:szCs w:val="21"/>
              </w:rPr>
              <w:t>资质证书和基本账户开户许可证（基本存款账户信息）。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（2）投标人的资质等级符合招标文件规定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（3）投标人的类似项目业绩符合招标文件的规定。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）投标人的信誉符合招标文件规定。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（5）投标人的项目负责人资格符合招标文件规定。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（6）投标人的其他人员要求符合招标文件规定。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（7）投标人不存在第二章“投标人须知”第1.4.3项或1.4.4项规定的任何一种情形。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2.2.1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分值构成（总分100分）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第一个信封（商务及技术文件）评分分值构成；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技术建议书：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0分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主要人员：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其他因素：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第二个信封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（报价文件）评分分值构成：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评标价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2.2.2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评标基准价计算方法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评标基准价的计算：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在第二个信封开标现场，招标人将当场计算并宣布评标基准价。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(1)评标价的确定：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评标价=投标函文字报价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(2)评标价平均值的计算：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除按第二章“投标人须知”第5.2.4项规定开标现场被宣布为不参加评标基准价计算的投标报价之外，所有投标人的评标价的算术平均值即为评标价平均值。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(3)评标基准价的确定：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将评标价平均值直接作为评标基准价（评标基准价保留两位小数，第三位四舍五入）。当所有投标价都高于招标人投标控制价上限时，招标人将重新招标。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在评标过程中，评标委员会应对招标人计算的评标基准价进行复核，存在计算错误的应予以修正并在评标报告中作出说明。除此之外，评标基准价在整个评标期间保持不变，不随任何因素发生变化。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2.2.3</w:t>
            </w: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评标价的偏差率计算公式</w:t>
            </w:r>
          </w:p>
        </w:tc>
        <w:tc>
          <w:tcPr>
            <w:tcW w:w="73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z w:val="3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偏差率=100%×(投标人评标价-评标基准价)/评标基准价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需要补充的其他内容：无</w:t>
            </w:r>
          </w:p>
        </w:tc>
      </w:tr>
    </w:tbl>
    <w:p>
      <w:pPr>
        <w:pStyle w:val="6"/>
        <w:spacing w:line="360" w:lineRule="auto"/>
        <w:rPr>
          <w:rFonts w:asciiTheme="minorEastAsia" w:hAnsiTheme="minorEastAsia" w:eastAsiaTheme="minorEastAsia"/>
          <w:sz w:val="24"/>
        </w:rPr>
      </w:pPr>
    </w:p>
    <w:p>
      <w:pPr>
        <w:widowControl/>
        <w:jc w:val="left"/>
        <w:rPr>
          <w:rFonts w:asciiTheme="minorEastAsia" w:hAnsiTheme="minorEastAsia" w:eastAsiaTheme="minorEastAsia"/>
          <w:sz w:val="24"/>
          <w:szCs w:val="20"/>
        </w:rPr>
      </w:pPr>
      <w:r>
        <w:rPr>
          <w:rFonts w:asciiTheme="minorEastAsia" w:hAnsiTheme="minorEastAsia" w:eastAsiaTheme="minorEastAsia"/>
          <w:sz w:val="24"/>
        </w:rPr>
        <w:br w:type="page"/>
      </w:r>
    </w:p>
    <w:p>
      <w:pPr>
        <w:pStyle w:val="6"/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sz w:val="24"/>
        </w:rPr>
        <w:t>具体评分标准如下：</w:t>
      </w:r>
    </w:p>
    <w:tbl>
      <w:tblPr>
        <w:tblStyle w:val="9"/>
        <w:tblpPr w:leftFromText="180" w:rightFromText="180" w:vertAnchor="text" w:horzAnchor="page" w:tblpX="803" w:tblpY="421"/>
        <w:tblOverlap w:val="never"/>
        <w:tblW w:w="99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18"/>
        <w:gridCol w:w="794"/>
        <w:gridCol w:w="1276"/>
        <w:gridCol w:w="708"/>
        <w:gridCol w:w="60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Align w:val="center"/>
          </w:tcPr>
          <w:p>
            <w:pPr>
              <w:autoSpaceDE w:val="0"/>
              <w:autoSpaceDN w:val="0"/>
              <w:ind w:left="-199" w:leftChars="-95" w:right="-9511" w:rightChars="-4529" w:firstLine="0" w:firstLineChars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bookmarkStart w:id="2" w:name="_Hlk69451739"/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条款号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评审因素</w:t>
            </w:r>
          </w:p>
        </w:tc>
        <w:tc>
          <w:tcPr>
            <w:tcW w:w="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评分因素权重分值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各评分因素</w:t>
            </w:r>
          </w:p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</w:rPr>
              <w:t>细分项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  <w:t>分值</w:t>
            </w:r>
          </w:p>
        </w:tc>
        <w:tc>
          <w:tcPr>
            <w:tcW w:w="6021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restart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2.2.4（1）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工作方案</w:t>
            </w: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2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检测、监测工作方案设计一般，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pStyle w:val="6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检测、监测工作方案设计及总体思路比较清晰，得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分;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pStyle w:val="6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检测、监测工作方案设计及总体思路非常清晰，得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、监测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内容、方法及对策措施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检测、监测方案基本适合本项目，针对性一般，对策基本可行，得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pStyle w:val="6"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检测、监测方案适合本项目，针对性较好，对策一般可行，得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检测、监测方案充分适合本项目，针对性很好，对策有效可行，得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12.01-15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项目组织机构及人员、仪器设备安排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人员、仪器设备的配备及进场时间安排基本明确、机构设置、人员岗位设置基本合理，得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人员、仪器设备的配备及进场时间安排比较明确、机构设置、人员岗位设置比较合理，得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6.01-8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人员、仪器设备的配备及进场时间安排很明确、机构设置、人员岗位设置很合理，得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8.01-10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13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重难点分析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对本项目管理、检测、监测的重点、难点分析基本合理，得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对本项目管理、检测、监测的重点、难点分析较合理，得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6.01-8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6"/>
              <w:spacing w:line="300" w:lineRule="exact"/>
              <w:jc w:val="lef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对本项目管理、检测、监测的重点、难点分析很周全、合理，得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8.01-10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2.2.4（2）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主要人员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满足招标文件资格审查强制性要求得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每有一项类似业绩得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项目负责人得2.5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每有一项类似业绩得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项目负责人或技术负责人得2.5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质量负责人</w:t>
            </w:r>
          </w:p>
        </w:tc>
        <w:tc>
          <w:tcPr>
            <w:tcW w:w="7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2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每有一项类似业绩得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项目负责人或质量负责人得2.5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分，最高得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1" w:type="dxa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2.2.4（3）</w:t>
            </w:r>
          </w:p>
        </w:tc>
        <w:tc>
          <w:tcPr>
            <w:tcW w:w="61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评标价</w:t>
            </w:r>
          </w:p>
        </w:tc>
        <w:tc>
          <w:tcPr>
            <w:tcW w:w="79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0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评标价得分计算公式示例：</w:t>
            </w:r>
          </w:p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（1）如果投标人的评标价＞评标基准价，则评标价得分=F-（投标人评标价-评标基准价）/评标基准价×100×E1；</w:t>
            </w:r>
          </w:p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（2）如果投标人的评标价≤评标基准价，则评标价得分=F+(投标人评标价-评标基准价)/评标基准价×100×E2。</w:t>
            </w:r>
          </w:p>
          <w:p>
            <w:pP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其中，F=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；E1=0.2；E2=0.1；评标价最低得分为0分。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1" w:type="dxa"/>
            <w:vAlign w:val="center"/>
          </w:tcPr>
          <w:p>
            <w:pPr>
              <w:autoSpaceDE w:val="0"/>
              <w:autoSpaceDN w:val="0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2.2.4（4）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因素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类似项目业绩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满足资格审查业绩最低要求得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满足资格审查的基础上，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每增加一项</w:t>
            </w:r>
            <w:r>
              <w:rPr>
                <w:rFonts w:hint="eastAsia" w:ascii="宋体" w:hAnsi="宋体"/>
                <w:color w:val="000000"/>
                <w:szCs w:val="21"/>
              </w:rPr>
              <w:t>资格审查业绩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得</w:t>
            </w:r>
            <w:r>
              <w:rPr>
                <w:rFonts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分，最高得</w:t>
            </w:r>
            <w:r>
              <w:rPr>
                <w:rFonts w:hAnsi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分。</w:t>
            </w:r>
          </w:p>
        </w:tc>
      </w:tr>
      <w:bookmarkEnd w:id="2"/>
    </w:tbl>
    <w:p>
      <w:pPr>
        <w:pStyle w:val="6"/>
        <w:spacing w:line="360" w:lineRule="auto"/>
        <w:ind w:right="-512" w:rightChars="-244" w:firstLine="430" w:firstLineChars="200"/>
        <w:rPr>
          <w:rFonts w:hAnsi="宋体"/>
          <w:b/>
          <w:spacing w:val="2"/>
          <w:szCs w:val="21"/>
        </w:rPr>
      </w:pPr>
      <w:r>
        <w:rPr>
          <w:rFonts w:hint="eastAsia" w:hAnsi="宋体"/>
          <w:b/>
          <w:spacing w:val="2"/>
          <w:szCs w:val="21"/>
        </w:rPr>
        <w:t>注：1、企业类似项目业绩指近五年（201</w:t>
      </w:r>
      <w:r>
        <w:rPr>
          <w:rFonts w:hint="eastAsia" w:hAnsi="宋体"/>
          <w:b/>
          <w:spacing w:val="2"/>
          <w:szCs w:val="21"/>
          <w:lang w:val="en-US" w:eastAsia="zh-CN"/>
        </w:rPr>
        <w:t>7</w:t>
      </w:r>
      <w:r>
        <w:rPr>
          <w:rFonts w:hint="eastAsia" w:hAnsi="宋体"/>
          <w:b/>
          <w:spacing w:val="2"/>
          <w:szCs w:val="21"/>
        </w:rPr>
        <w:t>年</w:t>
      </w:r>
      <w:r>
        <w:rPr>
          <w:rFonts w:hint="eastAsia" w:hAnsi="宋体"/>
          <w:b/>
          <w:spacing w:val="2"/>
          <w:szCs w:val="21"/>
          <w:lang w:val="en-US" w:eastAsia="zh-CN"/>
        </w:rPr>
        <w:t>9</w:t>
      </w:r>
      <w:r>
        <w:rPr>
          <w:rFonts w:hint="eastAsia" w:hAnsi="宋体"/>
          <w:b/>
          <w:spacing w:val="2"/>
          <w:szCs w:val="21"/>
        </w:rPr>
        <w:t>月1日至今，时间以合同签订时间为准）具有一项合同额</w:t>
      </w:r>
      <w:r>
        <w:rPr>
          <w:rFonts w:hint="eastAsia" w:hAnsi="宋体"/>
          <w:b/>
          <w:spacing w:val="2"/>
          <w:szCs w:val="21"/>
          <w:highlight w:val="none"/>
          <w:lang w:val="en-US" w:eastAsia="zh-CN"/>
        </w:rPr>
        <w:t>100</w:t>
      </w:r>
      <w:r>
        <w:rPr>
          <w:rFonts w:hint="eastAsia" w:hAnsi="宋体"/>
          <w:b/>
          <w:spacing w:val="2"/>
          <w:szCs w:val="21"/>
          <w:highlight w:val="none"/>
        </w:rPr>
        <w:t>万元以</w:t>
      </w:r>
      <w:r>
        <w:rPr>
          <w:rFonts w:hint="eastAsia" w:hAnsi="宋体"/>
          <w:b/>
          <w:spacing w:val="2"/>
          <w:szCs w:val="21"/>
        </w:rPr>
        <w:t>上的水运工程检测</w:t>
      </w:r>
      <w:r>
        <w:rPr>
          <w:rFonts w:hint="eastAsia" w:hAnsi="宋体"/>
          <w:b/>
          <w:spacing w:val="2"/>
          <w:szCs w:val="21"/>
          <w:lang w:val="en-US" w:eastAsia="zh-CN"/>
        </w:rPr>
        <w:t>或监测</w:t>
      </w:r>
      <w:r>
        <w:rPr>
          <w:rFonts w:hint="eastAsia" w:hAnsi="宋体"/>
          <w:b/>
          <w:spacing w:val="2"/>
          <w:szCs w:val="21"/>
        </w:rPr>
        <w:t>业绩。须提供业绩合同、中标通知书（如有），未完全提供业绩证明材料的，不予认可。</w:t>
      </w:r>
    </w:p>
    <w:p>
      <w:pPr>
        <w:pStyle w:val="6"/>
        <w:spacing w:line="360" w:lineRule="auto"/>
        <w:ind w:right="-512" w:rightChars="-244" w:firstLine="430" w:firstLineChars="200"/>
        <w:rPr>
          <w:rFonts w:hAnsi="宋体"/>
          <w:b/>
          <w:spacing w:val="2"/>
          <w:szCs w:val="21"/>
        </w:rPr>
      </w:pPr>
      <w:r>
        <w:rPr>
          <w:rFonts w:hint="eastAsia" w:hAnsi="宋体"/>
          <w:b/>
          <w:spacing w:val="2"/>
          <w:szCs w:val="21"/>
          <w:highlight w:val="none"/>
        </w:rPr>
        <w:t>主要人员类似业绩指近五年（201</w:t>
      </w:r>
      <w:r>
        <w:rPr>
          <w:rFonts w:hint="eastAsia" w:hAnsi="宋体"/>
          <w:b/>
          <w:spacing w:val="2"/>
          <w:szCs w:val="21"/>
          <w:highlight w:val="none"/>
          <w:lang w:val="en-US" w:eastAsia="zh-CN"/>
        </w:rPr>
        <w:t>7</w:t>
      </w:r>
      <w:r>
        <w:rPr>
          <w:rFonts w:hint="eastAsia" w:hAnsi="宋体"/>
          <w:b/>
          <w:spacing w:val="2"/>
          <w:szCs w:val="21"/>
          <w:highlight w:val="none"/>
        </w:rPr>
        <w:t>年</w:t>
      </w:r>
      <w:r>
        <w:rPr>
          <w:rFonts w:hint="eastAsia" w:hAnsi="宋体"/>
          <w:b/>
          <w:spacing w:val="2"/>
          <w:szCs w:val="21"/>
          <w:highlight w:val="none"/>
          <w:lang w:val="en-US" w:eastAsia="zh-CN"/>
        </w:rPr>
        <w:t>9</w:t>
      </w:r>
      <w:r>
        <w:rPr>
          <w:rFonts w:hint="eastAsia" w:hAnsi="宋体"/>
          <w:b/>
          <w:spacing w:val="2"/>
          <w:szCs w:val="21"/>
          <w:highlight w:val="none"/>
        </w:rPr>
        <w:t>月1日至今，时间以合同签订时间为准）具有一项合同额</w:t>
      </w:r>
      <w:r>
        <w:rPr>
          <w:rFonts w:hint="eastAsia" w:hAnsi="宋体"/>
          <w:b/>
          <w:spacing w:val="2"/>
          <w:szCs w:val="21"/>
          <w:highlight w:val="none"/>
          <w:lang w:val="en-US" w:eastAsia="zh-CN"/>
        </w:rPr>
        <w:t>100</w:t>
      </w:r>
      <w:r>
        <w:rPr>
          <w:rFonts w:hint="eastAsia" w:hAnsi="宋体"/>
          <w:b/>
          <w:spacing w:val="2"/>
          <w:szCs w:val="21"/>
          <w:highlight w:val="none"/>
        </w:rPr>
        <w:t>万元以上的水</w:t>
      </w:r>
      <w:r>
        <w:rPr>
          <w:rFonts w:hint="eastAsia" w:hAnsi="宋体"/>
          <w:b/>
          <w:spacing w:val="2"/>
          <w:szCs w:val="21"/>
        </w:rPr>
        <w:t>运工程检测</w:t>
      </w:r>
      <w:r>
        <w:rPr>
          <w:rFonts w:hint="eastAsia" w:hAnsi="宋体"/>
          <w:b/>
          <w:spacing w:val="2"/>
          <w:szCs w:val="21"/>
          <w:lang w:val="en-US" w:eastAsia="zh-CN"/>
        </w:rPr>
        <w:t>或监测</w:t>
      </w:r>
      <w:r>
        <w:rPr>
          <w:rFonts w:hint="eastAsia" w:hAnsi="宋体"/>
          <w:b/>
          <w:spacing w:val="2"/>
          <w:szCs w:val="21"/>
        </w:rPr>
        <w:t>业绩。须提供业绩合同、中标通知书（如有），以上资料需能体现主要人员姓名及相应岗位，若不能体现，应提供其他证明资料（本单位出具的证明材料无效），未完全提供业绩证明材料的，不予认可。</w:t>
      </w:r>
    </w:p>
    <w:p>
      <w:pPr>
        <w:pStyle w:val="6"/>
        <w:spacing w:line="360" w:lineRule="auto"/>
        <w:ind w:firstLine="430" w:firstLineChars="200"/>
        <w:rPr>
          <w:rFonts w:asciiTheme="minorEastAsia" w:hAnsiTheme="minorEastAsia" w:eastAsiaTheme="minorEastAsia"/>
          <w:b/>
          <w:spacing w:val="2"/>
          <w:szCs w:val="21"/>
        </w:rPr>
      </w:pPr>
      <w:r>
        <w:rPr>
          <w:rFonts w:hint="eastAsia" w:hAnsi="宋体"/>
          <w:b/>
          <w:spacing w:val="2"/>
          <w:szCs w:val="21"/>
        </w:rPr>
        <w:t>2、投标文件须提供以上资格证书、证明材料等扫描件。</w:t>
      </w:r>
    </w:p>
    <w:p>
      <w:pPr>
        <w:pStyle w:val="3"/>
        <w:rPr>
          <w:rFonts w:hint="eastAsia"/>
        </w:rPr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dobeHeitiStd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YjJjOWQzYzk4NmQ3ZDUzNzYzM2U4OTcxNDZiODAifQ=="/>
  </w:docVars>
  <w:rsids>
    <w:rsidRoot w:val="6FBD7A60"/>
    <w:rsid w:val="35D81123"/>
    <w:rsid w:val="438F522D"/>
    <w:rsid w:val="5D395557"/>
    <w:rsid w:val="68054263"/>
    <w:rsid w:val="6FB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after="120" w:line="240" w:lineRule="auto"/>
      <w:ind w:firstLine="420" w:firstLineChars="100"/>
    </w:pPr>
    <w:rPr>
      <w:rFonts w:ascii="Calibri" w:hAnsi="Calibri" w:eastAsia="宋体" w:cs="Times New Roman"/>
      <w:color w:val="auto"/>
      <w:sz w:val="22"/>
      <w:szCs w:val="22"/>
      <w:lang w:bidi="ar-SA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ody Text 2"/>
    <w:basedOn w:val="1"/>
    <w:qFormat/>
    <w:uiPriority w:val="0"/>
    <w:pPr>
      <w:spacing w:line="540" w:lineRule="exact"/>
    </w:pPr>
    <w:rPr>
      <w:color w:val="FF0000"/>
      <w:kern w:val="2"/>
      <w:sz w:val="21"/>
      <w:szCs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"/>
      <w:color w:val="0000FF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">
    <w:name w:val="样式30"/>
    <w:basedOn w:val="5"/>
    <w:qFormat/>
    <w:uiPriority w:val="0"/>
    <w:pPr>
      <w:spacing w:before="0" w:after="0" w:line="360" w:lineRule="auto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6053</Words>
  <Characters>6581</Characters>
  <Lines>0</Lines>
  <Paragraphs>0</Paragraphs>
  <TotalTime>0</TotalTime>
  <ScaleCrop>false</ScaleCrop>
  <LinksUpToDate>false</LinksUpToDate>
  <CharactersWithSpaces>6637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2022-09-07T07:43:00Z</dcterms:created>
  <dc:creator>孩儿爹</dc:creator>
  <cp:lastModifiedBy>孩儿爹</cp:lastModifiedBy>
  <dcterms:modified xsi:type="dcterms:W3CDTF">2022-09-07T11:56:15Z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9AE719C0A0AF44D98FF2E95E914336AD</vt:lpwstr>
  </property>
</Properties>
</file>