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exact"/>
        <w:jc w:val="left"/>
        <w:rPr>
          <w:rFonts w:hint="eastAsia" w:ascii="宋体" w:hAnsi="宋体"/>
          <w:b/>
          <w:sz w:val="24"/>
        </w:rPr>
      </w:pPr>
      <w:r>
        <w:rPr>
          <w:rFonts w:hint="eastAsia" w:ascii="宋体" w:hAnsi="宋体"/>
          <w:b/>
          <w:sz w:val="24"/>
        </w:rPr>
        <w:t>附件</w:t>
      </w:r>
      <w:r>
        <w:rPr>
          <w:rFonts w:ascii="宋体" w:hAnsi="宋体"/>
          <w:b/>
          <w:sz w:val="24"/>
        </w:rPr>
        <w:t>2</w:t>
      </w:r>
      <w:r>
        <w:rPr>
          <w:rFonts w:hint="eastAsia" w:ascii="宋体" w:hAnsi="宋体"/>
          <w:b/>
          <w:sz w:val="24"/>
        </w:rPr>
        <w:t>：评标办法</w:t>
      </w:r>
    </w:p>
    <w:p>
      <w:pPr>
        <w:pStyle w:val="11"/>
        <w:spacing w:line="276" w:lineRule="auto"/>
        <w:rPr>
          <w:rFonts w:ascii="宋体" w:hAnsi="宋体" w:eastAsia="宋体"/>
          <w:sz w:val="30"/>
          <w:szCs w:val="30"/>
        </w:rPr>
      </w:pPr>
      <w:bookmarkStart w:id="0" w:name="_Toc509659998"/>
      <w:bookmarkStart w:id="1" w:name="_Toc509660966"/>
      <w:bookmarkStart w:id="2" w:name="_Toc450319202"/>
      <w:bookmarkStart w:id="3" w:name="_Toc459307890"/>
      <w:bookmarkStart w:id="4" w:name="_Toc510960513"/>
      <w:bookmarkStart w:id="5" w:name="_Toc502992691"/>
      <w:bookmarkStart w:id="6" w:name="_Toc444088432"/>
      <w:bookmarkStart w:id="7" w:name="_Toc445382083"/>
      <w:bookmarkStart w:id="8" w:name="_Toc444271617"/>
      <w:bookmarkStart w:id="9" w:name="_Toc445222503"/>
      <w:r>
        <w:rPr>
          <w:rFonts w:hint="eastAsia" w:ascii="宋体" w:hAnsi="宋体" w:eastAsia="宋体"/>
          <w:sz w:val="30"/>
          <w:szCs w:val="30"/>
          <w:lang w:val="en-US" w:eastAsia="zh-CN"/>
        </w:rPr>
        <w:t xml:space="preserve">    </w:t>
      </w:r>
      <w:r>
        <w:rPr>
          <w:rFonts w:hint="eastAsia" w:ascii="宋体" w:hAnsi="宋体" w:eastAsia="宋体"/>
          <w:sz w:val="30"/>
          <w:szCs w:val="30"/>
        </w:rPr>
        <w:t>评标办法（综合评估法）</w:t>
      </w:r>
      <w:bookmarkEnd w:id="0"/>
      <w:bookmarkEnd w:id="1"/>
      <w:bookmarkEnd w:id="2"/>
      <w:bookmarkEnd w:id="3"/>
      <w:bookmarkEnd w:id="4"/>
      <w:bookmarkEnd w:id="5"/>
    </w:p>
    <w:bookmarkEnd w:id="6"/>
    <w:bookmarkEnd w:id="7"/>
    <w:bookmarkEnd w:id="8"/>
    <w:bookmarkEnd w:id="9"/>
    <w:p>
      <w:pPr>
        <w:pStyle w:val="12"/>
        <w:spacing w:line="276" w:lineRule="auto"/>
        <w:rPr>
          <w:rFonts w:ascii="宋体" w:hAnsi="宋体"/>
          <w:sz w:val="24"/>
          <w:szCs w:val="24"/>
          <w:vertAlign w:val="superscript"/>
        </w:rPr>
      </w:pPr>
      <w:r>
        <w:rPr>
          <w:rFonts w:hint="eastAsia" w:ascii="宋体" w:hAnsi="宋体"/>
          <w:sz w:val="24"/>
          <w:szCs w:val="24"/>
        </w:rPr>
        <w:t>评标办法前附表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5" w:type="dxa"/>
            <w:noWrap w:val="0"/>
            <w:vAlign w:val="center"/>
          </w:tcPr>
          <w:p>
            <w:pPr>
              <w:jc w:val="center"/>
              <w:rPr>
                <w:rFonts w:ascii="宋体" w:hAnsi="宋体"/>
                <w:sz w:val="21"/>
                <w:szCs w:val="21"/>
              </w:rPr>
            </w:pPr>
            <w:r>
              <w:rPr>
                <w:rFonts w:hint="eastAsia" w:ascii="宋体" w:hAnsi="宋体"/>
                <w:sz w:val="21"/>
                <w:szCs w:val="21"/>
              </w:rPr>
              <w:t>条款号</w:t>
            </w:r>
          </w:p>
        </w:tc>
        <w:tc>
          <w:tcPr>
            <w:tcW w:w="1231" w:type="dxa"/>
            <w:noWrap w:val="0"/>
            <w:vAlign w:val="center"/>
          </w:tcPr>
          <w:p>
            <w:pPr>
              <w:jc w:val="center"/>
              <w:rPr>
                <w:rFonts w:ascii="宋体" w:hAnsi="宋体"/>
                <w:sz w:val="21"/>
                <w:szCs w:val="21"/>
              </w:rPr>
            </w:pPr>
            <w:r>
              <w:rPr>
                <w:rFonts w:hint="eastAsia" w:ascii="宋体" w:hAnsi="宋体"/>
                <w:sz w:val="21"/>
                <w:szCs w:val="21"/>
              </w:rPr>
              <w:t>条款名称</w:t>
            </w:r>
          </w:p>
        </w:tc>
        <w:tc>
          <w:tcPr>
            <w:tcW w:w="7020" w:type="dxa"/>
            <w:noWrap w:val="0"/>
            <w:vAlign w:val="center"/>
          </w:tcPr>
          <w:p>
            <w:pPr>
              <w:jc w:val="center"/>
              <w:rPr>
                <w:rFonts w:ascii="宋体" w:hAnsi="宋体"/>
                <w:sz w:val="21"/>
                <w:szCs w:val="21"/>
              </w:rPr>
            </w:pPr>
            <w:r>
              <w:rPr>
                <w:rFonts w:hint="eastAsia" w:ascii="宋体" w:hAnsi="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1035" w:type="dxa"/>
            <w:noWrap w:val="0"/>
            <w:vAlign w:val="center"/>
          </w:tcPr>
          <w:p>
            <w:pPr>
              <w:jc w:val="center"/>
              <w:rPr>
                <w:rFonts w:hint="eastAsia" w:ascii="宋体" w:hAnsi="宋体"/>
                <w:sz w:val="21"/>
                <w:szCs w:val="21"/>
              </w:rPr>
            </w:pPr>
            <w:r>
              <w:rPr>
                <w:rFonts w:hint="eastAsia" w:ascii="宋体" w:hAnsi="宋体"/>
                <w:sz w:val="21"/>
                <w:szCs w:val="21"/>
              </w:rPr>
              <w:t>1</w:t>
            </w:r>
          </w:p>
        </w:tc>
        <w:tc>
          <w:tcPr>
            <w:tcW w:w="1231" w:type="dxa"/>
            <w:noWrap w:val="0"/>
            <w:vAlign w:val="center"/>
          </w:tcPr>
          <w:p>
            <w:pPr>
              <w:jc w:val="center"/>
              <w:rPr>
                <w:rFonts w:hint="eastAsia" w:ascii="宋体" w:hAnsi="宋体"/>
                <w:sz w:val="21"/>
                <w:szCs w:val="21"/>
              </w:rPr>
            </w:pPr>
            <w:r>
              <w:rPr>
                <w:rFonts w:hint="eastAsia" w:ascii="宋体" w:hAnsi="宋体"/>
                <w:sz w:val="21"/>
                <w:szCs w:val="21"/>
              </w:rPr>
              <w:t>评标办法</w:t>
            </w:r>
          </w:p>
        </w:tc>
        <w:tc>
          <w:tcPr>
            <w:tcW w:w="7020" w:type="dxa"/>
            <w:noWrap w:val="0"/>
            <w:vAlign w:val="center"/>
          </w:tcPr>
          <w:p>
            <w:pPr>
              <w:spacing w:line="420" w:lineRule="exact"/>
              <w:rPr>
                <w:rFonts w:hint="eastAsia" w:ascii="宋体" w:hAnsi="宋体"/>
                <w:spacing w:val="-4"/>
                <w:sz w:val="21"/>
                <w:szCs w:val="21"/>
              </w:rPr>
            </w:pPr>
            <w:r>
              <w:rPr>
                <w:rFonts w:hint="eastAsia" w:ascii="宋体" w:hAnsi="宋体"/>
                <w:spacing w:val="-4"/>
                <w:sz w:val="21"/>
                <w:szCs w:val="21"/>
              </w:rPr>
              <w:t>本条修改为：</w:t>
            </w:r>
          </w:p>
          <w:p>
            <w:pPr>
              <w:spacing w:line="420" w:lineRule="exact"/>
              <w:ind w:firstLine="420" w:firstLineChars="200"/>
              <w:rPr>
                <w:rFonts w:hint="eastAsia" w:ascii="宋体" w:hAnsi="宋体"/>
                <w:sz w:val="21"/>
                <w:szCs w:val="21"/>
              </w:rPr>
            </w:pPr>
            <w:r>
              <w:rPr>
                <w:rFonts w:hint="eastAsia" w:ascii="宋体" w:hAnsi="宋体"/>
                <w:sz w:val="21"/>
                <w:szCs w:val="21"/>
              </w:rPr>
              <w:t>本次评标采用综合评估法。评标委员会对满足招标文件实质性要求的投标文件，按照第三章第2.2款规定的评分标准进行打分，并按得分由高到低顺序推荐中标候选人。综合</w:t>
            </w:r>
            <w:r>
              <w:rPr>
                <w:rFonts w:ascii="宋体" w:hAnsi="宋体"/>
                <w:sz w:val="21"/>
                <w:szCs w:val="21"/>
              </w:rPr>
              <w:t>得分相等时，以评标价低的优先；评标价也相等的，</w:t>
            </w:r>
            <w:r>
              <w:rPr>
                <w:rFonts w:hint="eastAsia" w:ascii="宋体" w:hAnsi="宋体"/>
                <w:sz w:val="21"/>
                <w:szCs w:val="21"/>
                <w:highlight w:val="none"/>
              </w:rPr>
              <w:t>则以第一个信封满足业绩要求的合同累计金额多的优先</w:t>
            </w:r>
            <w:r>
              <w:rPr>
                <w:rFonts w:ascii="宋体" w:hAnsi="宋体"/>
                <w:sz w:val="21"/>
                <w:szCs w:val="21"/>
                <w:highlight w:val="none"/>
              </w:rPr>
              <w:t>。</w:t>
            </w:r>
          </w:p>
          <w:p>
            <w:pPr>
              <w:spacing w:line="420" w:lineRule="exact"/>
              <w:ind w:firstLine="420" w:firstLineChars="200"/>
              <w:rPr>
                <w:rFonts w:hint="eastAsia" w:ascii="宋体" w:hAnsi="宋体"/>
                <w:sz w:val="21"/>
                <w:szCs w:val="21"/>
              </w:rPr>
            </w:pPr>
            <w:r>
              <w:rPr>
                <w:rFonts w:hint="eastAsia" w:ascii="宋体" w:hAnsi="宋体"/>
                <w:sz w:val="21"/>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pPr>
              <w:jc w:val="center"/>
              <w:rPr>
                <w:rFonts w:hint="eastAsia" w:ascii="宋体" w:hAnsi="宋体"/>
                <w:sz w:val="21"/>
                <w:szCs w:val="21"/>
              </w:rPr>
            </w:pPr>
            <w:r>
              <w:rPr>
                <w:rFonts w:hint="eastAsia" w:ascii="宋体" w:hAnsi="宋体"/>
                <w:sz w:val="21"/>
                <w:szCs w:val="21"/>
              </w:rPr>
              <w:t>2.1.1</w:t>
            </w:r>
          </w:p>
          <w:p>
            <w:pPr>
              <w:jc w:val="center"/>
              <w:rPr>
                <w:rFonts w:hint="eastAsia" w:ascii="宋体" w:hAnsi="宋体"/>
                <w:sz w:val="21"/>
                <w:szCs w:val="21"/>
              </w:rPr>
            </w:pPr>
            <w:r>
              <w:rPr>
                <w:rFonts w:hint="eastAsia" w:ascii="宋体" w:hAnsi="宋体"/>
                <w:sz w:val="21"/>
                <w:szCs w:val="21"/>
              </w:rPr>
              <w:t>2.1.3</w:t>
            </w:r>
          </w:p>
        </w:tc>
        <w:tc>
          <w:tcPr>
            <w:tcW w:w="1231" w:type="dxa"/>
            <w:noWrap w:val="0"/>
            <w:vAlign w:val="center"/>
          </w:tcPr>
          <w:p>
            <w:pPr>
              <w:jc w:val="center"/>
              <w:rPr>
                <w:rFonts w:hint="eastAsia" w:ascii="宋体" w:hAnsi="宋体"/>
                <w:sz w:val="21"/>
                <w:szCs w:val="21"/>
              </w:rPr>
            </w:pPr>
            <w:r>
              <w:rPr>
                <w:rFonts w:hint="eastAsia" w:ascii="宋体" w:hAnsi="宋体"/>
                <w:sz w:val="21"/>
                <w:szCs w:val="21"/>
              </w:rPr>
              <w:t>形式评审与响应性评审标准</w:t>
            </w:r>
          </w:p>
        </w:tc>
        <w:tc>
          <w:tcPr>
            <w:tcW w:w="7020" w:type="dxa"/>
            <w:noWrap w:val="0"/>
            <w:vAlign w:val="top"/>
          </w:tcPr>
          <w:p>
            <w:pPr>
              <w:tabs>
                <w:tab w:val="left" w:pos="3060"/>
              </w:tabs>
              <w:spacing w:line="420" w:lineRule="exact"/>
              <w:rPr>
                <w:rFonts w:hint="eastAsia" w:ascii="宋体" w:hAnsi="宋体"/>
                <w:b/>
                <w:sz w:val="21"/>
                <w:szCs w:val="21"/>
              </w:rPr>
            </w:pPr>
            <w:r>
              <w:rPr>
                <w:rFonts w:hint="eastAsia" w:ascii="宋体" w:hAnsi="宋体"/>
                <w:b/>
                <w:sz w:val="21"/>
                <w:szCs w:val="21"/>
              </w:rPr>
              <w:t>第一个信封（商务及技术文件）评审标准:</w:t>
            </w:r>
          </w:p>
          <w:p>
            <w:pPr>
              <w:tabs>
                <w:tab w:val="left" w:pos="3060"/>
              </w:tabs>
              <w:spacing w:line="420" w:lineRule="exact"/>
              <w:ind w:firstLine="210" w:firstLineChars="100"/>
              <w:rPr>
                <w:rFonts w:ascii="宋体" w:hAnsi="宋体"/>
                <w:sz w:val="21"/>
                <w:szCs w:val="21"/>
              </w:rPr>
            </w:pPr>
            <w:r>
              <w:rPr>
                <w:rFonts w:hint="eastAsia" w:ascii="宋体" w:hAnsi="宋体"/>
                <w:sz w:val="21"/>
                <w:szCs w:val="21"/>
              </w:rPr>
              <w:t>（1）投标文件由投标人使用“E招冀成电子招投标平台”自带的“投标文件制作工具”制作生成，投标文件制作完成后，投标人应使用河北CA数字证书进行“导出”操作，形成加密的投标文件；</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（2）</w:t>
            </w:r>
            <w:r>
              <w:rPr>
                <w:rFonts w:hint="eastAsia" w:ascii="宋体" w:hAnsi="宋体" w:cs="宋体"/>
                <w:sz w:val="21"/>
                <w:szCs w:val="21"/>
              </w:rPr>
              <w:t>投标文件上法定代表人或其委托代理人的签字、投标人的单位盖章齐全，符合招标文件规定。</w:t>
            </w:r>
          </w:p>
          <w:p>
            <w:pPr>
              <w:spacing w:line="380" w:lineRule="exact"/>
              <w:ind w:firstLine="210" w:firstLineChars="100"/>
              <w:rPr>
                <w:rFonts w:ascii="宋体" w:hAnsi="宋体" w:cs="宋体"/>
                <w:szCs w:val="21"/>
              </w:rPr>
            </w:pPr>
            <w:r>
              <w:rPr>
                <w:rFonts w:hint="eastAsia" w:ascii="宋体" w:hAnsi="宋体"/>
                <w:sz w:val="21"/>
                <w:szCs w:val="21"/>
              </w:rPr>
              <w:t>（3）</w:t>
            </w:r>
            <w:r>
              <w:rPr>
                <w:rFonts w:hint="eastAsia" w:ascii="宋体" w:hAnsi="宋体" w:cs="宋体"/>
                <w:sz w:val="21"/>
                <w:szCs w:val="21"/>
              </w:rPr>
              <w:t xml:space="preserve">投标人按照招标文件的规定提供了投标保证金： </w:t>
            </w:r>
          </w:p>
          <w:p>
            <w:pPr>
              <w:spacing w:line="380" w:lineRule="exact"/>
              <w:ind w:firstLine="420" w:firstLineChars="200"/>
              <w:rPr>
                <w:rFonts w:ascii="宋体" w:hAnsi="宋体" w:cs="宋体"/>
                <w:szCs w:val="21"/>
              </w:rPr>
            </w:pPr>
            <w:r>
              <w:rPr>
                <w:rFonts w:hint="eastAsia" w:ascii="宋体" w:hAnsi="宋体" w:cs="宋体"/>
                <w:sz w:val="21"/>
                <w:szCs w:val="21"/>
              </w:rPr>
              <w:t xml:space="preserve">a.投标保证金金额符合招标文件规定的金额，且投标保证金有效期不少于投标有效期； </w:t>
            </w:r>
          </w:p>
          <w:p>
            <w:pPr>
              <w:spacing w:line="380" w:lineRule="exact"/>
              <w:ind w:firstLine="420" w:firstLineChars="200"/>
              <w:rPr>
                <w:rFonts w:ascii="宋体" w:hAnsi="宋体" w:cs="宋体"/>
                <w:szCs w:val="21"/>
              </w:rPr>
            </w:pPr>
            <w:r>
              <w:rPr>
                <w:rFonts w:hint="eastAsia" w:ascii="宋体" w:hAnsi="宋体" w:cs="宋体"/>
                <w:sz w:val="21"/>
                <w:szCs w:val="21"/>
              </w:rPr>
              <w:t xml:space="preserve">b.若投标保证金采用电汇或转账形式提交，投标人应在递交投标文件截止时间之前，将投标保证金由投标人的基本账户转入招标人指定账户； </w:t>
            </w:r>
          </w:p>
          <w:p>
            <w:pPr>
              <w:tabs>
                <w:tab w:val="left" w:pos="3060"/>
              </w:tabs>
              <w:spacing w:line="420" w:lineRule="exact"/>
              <w:ind w:firstLine="420" w:firstLineChars="200"/>
              <w:rPr>
                <w:rFonts w:ascii="宋体" w:hAnsi="宋体" w:cs="宋体"/>
                <w:sz w:val="21"/>
                <w:szCs w:val="21"/>
              </w:rPr>
            </w:pPr>
            <w:r>
              <w:rPr>
                <w:rFonts w:hint="eastAsia" w:ascii="宋体" w:hAnsi="宋体" w:cs="宋体"/>
                <w:sz w:val="21"/>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（4）同一投标人未提交两个以上不同的投标文件。</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）投标人未对允许分包以外的工程提出分包计划。</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（6）投标文件中未出现有关投标报价的内容。</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（7）投标文件载明的招标项目完成期限未超过招标文件规定的时限。</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（8）投标文件对招标文件的实质性要求和条件作出响应。</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（9）权利义务符合招标文件规定：</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a.投标人应接受招标文件规定的风险划分原则，未提出新的风险划分办法；</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b.投标人未增加发包人的责任范围，或减少投标人义务；</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c.投标人未提出不同的工程验收、计量、支付办法；</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d.投标人对合同纠纷、事故处理办法未提出异议；</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e.投标人在投标活动中无欺诈行为；</w:t>
            </w:r>
          </w:p>
          <w:p>
            <w:pPr>
              <w:tabs>
                <w:tab w:val="left" w:pos="3060"/>
              </w:tabs>
              <w:spacing w:line="420" w:lineRule="exact"/>
              <w:ind w:firstLine="210" w:firstLineChars="100"/>
              <w:rPr>
                <w:rFonts w:hint="eastAsia" w:ascii="宋体" w:hAnsi="宋体"/>
                <w:sz w:val="21"/>
                <w:szCs w:val="21"/>
              </w:rPr>
            </w:pPr>
            <w:r>
              <w:rPr>
                <w:rFonts w:hint="eastAsia" w:ascii="宋体" w:hAnsi="宋体"/>
                <w:sz w:val="21"/>
                <w:szCs w:val="21"/>
              </w:rPr>
              <w:t>f.投标人未对合同条款有重要保留。</w:t>
            </w:r>
          </w:p>
          <w:p>
            <w:pPr>
              <w:tabs>
                <w:tab w:val="left" w:pos="3060"/>
              </w:tabs>
              <w:spacing w:line="420" w:lineRule="exact"/>
              <w:ind w:firstLine="210" w:firstLineChars="100"/>
              <w:rPr>
                <w:rFonts w:ascii="宋体" w:hAnsi="宋体"/>
                <w:sz w:val="21"/>
                <w:szCs w:val="21"/>
              </w:rPr>
            </w:pPr>
            <w:r>
              <w:rPr>
                <w:rFonts w:hint="eastAsia" w:ascii="宋体" w:hAnsi="宋体"/>
                <w:sz w:val="21"/>
                <w:szCs w:val="21"/>
              </w:rPr>
              <w:t>（10）投标人名称与营业执照、基本账户开户许可证（或企业基本存款账户信息相关单据）一致，如企业名称有变更的，应提供企业法人营业执照和资质证书的副本变更记录或相关部门的合法批件复印件。</w:t>
            </w:r>
          </w:p>
          <w:p>
            <w:pPr>
              <w:tabs>
                <w:tab w:val="left" w:pos="3060"/>
              </w:tabs>
              <w:spacing w:line="420" w:lineRule="exact"/>
              <w:rPr>
                <w:rFonts w:hint="eastAsia" w:ascii="宋体" w:hAnsi="宋体"/>
                <w:b/>
                <w:sz w:val="21"/>
                <w:szCs w:val="21"/>
              </w:rPr>
            </w:pPr>
            <w:r>
              <w:rPr>
                <w:rFonts w:hint="eastAsia" w:ascii="宋体" w:hAnsi="宋体"/>
                <w:b/>
                <w:sz w:val="21"/>
                <w:szCs w:val="21"/>
              </w:rPr>
              <w:t>第二个信封（报价文件）评审标准：</w:t>
            </w:r>
          </w:p>
          <w:p>
            <w:pPr>
              <w:tabs>
                <w:tab w:val="left" w:pos="3060"/>
              </w:tabs>
              <w:spacing w:line="420" w:lineRule="exact"/>
              <w:ind w:firstLine="105" w:firstLineChars="50"/>
              <w:rPr>
                <w:rFonts w:ascii="宋体" w:hAnsi="宋体"/>
                <w:sz w:val="21"/>
                <w:szCs w:val="21"/>
              </w:rPr>
            </w:pPr>
            <w:r>
              <w:rPr>
                <w:rFonts w:hint="eastAsia" w:ascii="宋体" w:hAnsi="宋体"/>
                <w:sz w:val="21"/>
                <w:szCs w:val="21"/>
              </w:rPr>
              <w:t>（1）投标文件由投标人使用“E招冀成电子招投标平台”自带的“投标文件制作工具”制作生成，投标文件制作完成后，投标人应使用河北CA数字证书进行“导出”操作，形成加密的投标文件；</w:t>
            </w:r>
          </w:p>
          <w:p>
            <w:pPr>
              <w:tabs>
                <w:tab w:val="left" w:pos="3060"/>
              </w:tabs>
              <w:spacing w:line="420" w:lineRule="exact"/>
              <w:ind w:firstLine="105" w:firstLineChars="50"/>
              <w:rPr>
                <w:rFonts w:hint="eastAsia"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w:t>
            </w:r>
            <w:r>
              <w:rPr>
                <w:rFonts w:hint="eastAsia" w:ascii="宋体" w:hAnsi="宋体" w:cs="宋体"/>
                <w:sz w:val="21"/>
                <w:szCs w:val="21"/>
              </w:rPr>
              <w:t>投标文件上法定代表人或其委托代理人的签字、投标人的单位盖章齐全，符合招标文件规定。</w:t>
            </w:r>
          </w:p>
          <w:p>
            <w:pPr>
              <w:tabs>
                <w:tab w:val="left" w:pos="3060"/>
              </w:tabs>
              <w:spacing w:line="420" w:lineRule="exact"/>
              <w:ind w:firstLine="105" w:firstLineChars="50"/>
              <w:rPr>
                <w:rFonts w:hint="eastAsia" w:ascii="宋体" w:hAnsi="宋体"/>
                <w:sz w:val="21"/>
                <w:szCs w:val="21"/>
              </w:rPr>
            </w:pPr>
            <w:r>
              <w:rPr>
                <w:rFonts w:hint="eastAsia" w:ascii="宋体" w:hAnsi="宋体"/>
                <w:sz w:val="21"/>
                <w:szCs w:val="21"/>
              </w:rPr>
              <w:t>（3）投标报价中的报价未超过招标文件设定的最高投标限价。</w:t>
            </w:r>
          </w:p>
          <w:p>
            <w:pPr>
              <w:tabs>
                <w:tab w:val="left" w:pos="3060"/>
              </w:tabs>
              <w:spacing w:line="420" w:lineRule="exact"/>
              <w:ind w:firstLine="105" w:firstLineChars="50"/>
              <w:rPr>
                <w:rFonts w:hint="eastAsia" w:ascii="宋体" w:hAnsi="宋体"/>
                <w:sz w:val="21"/>
                <w:szCs w:val="21"/>
              </w:rPr>
            </w:pPr>
            <w:r>
              <w:rPr>
                <w:rFonts w:hint="eastAsia" w:ascii="宋体" w:hAnsi="宋体"/>
                <w:sz w:val="21"/>
                <w:szCs w:val="21"/>
              </w:rPr>
              <w:t>（4）投标报价中报价的大写金额能够确定具体数值。</w:t>
            </w:r>
          </w:p>
          <w:p>
            <w:pPr>
              <w:tabs>
                <w:tab w:val="left" w:pos="3060"/>
              </w:tabs>
              <w:spacing w:line="420" w:lineRule="exact"/>
              <w:ind w:firstLine="105" w:firstLineChars="50"/>
              <w:rPr>
                <w:rFonts w:hint="eastAsia" w:ascii="宋体" w:hAnsi="宋体"/>
                <w:b/>
                <w:sz w:val="21"/>
                <w:szCs w:val="21"/>
              </w:rPr>
            </w:pPr>
            <w:r>
              <w:rPr>
                <w:rFonts w:hint="eastAsia" w:ascii="宋体" w:hAnsi="宋体"/>
                <w:sz w:val="21"/>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pPr>
              <w:jc w:val="center"/>
              <w:rPr>
                <w:rFonts w:ascii="宋体" w:hAnsi="宋体"/>
                <w:sz w:val="21"/>
                <w:szCs w:val="21"/>
              </w:rPr>
            </w:pPr>
            <w:r>
              <w:rPr>
                <w:rFonts w:hint="eastAsia" w:ascii="宋体" w:hAnsi="宋体"/>
                <w:sz w:val="21"/>
                <w:szCs w:val="21"/>
              </w:rPr>
              <w:t>2.1.2</w:t>
            </w:r>
          </w:p>
        </w:tc>
        <w:tc>
          <w:tcPr>
            <w:tcW w:w="1231" w:type="dxa"/>
            <w:noWrap w:val="0"/>
            <w:vAlign w:val="center"/>
          </w:tcPr>
          <w:p>
            <w:pPr>
              <w:jc w:val="center"/>
              <w:rPr>
                <w:rFonts w:ascii="宋体" w:hAnsi="宋体"/>
                <w:sz w:val="21"/>
                <w:szCs w:val="21"/>
              </w:rPr>
            </w:pPr>
            <w:r>
              <w:rPr>
                <w:rFonts w:hint="eastAsia" w:ascii="宋体" w:hAnsi="宋体"/>
                <w:sz w:val="21"/>
                <w:szCs w:val="21"/>
              </w:rPr>
              <w:t>资格评审标准</w:t>
            </w:r>
          </w:p>
        </w:tc>
        <w:tc>
          <w:tcPr>
            <w:tcW w:w="7020" w:type="dxa"/>
            <w:noWrap w:val="0"/>
            <w:vAlign w:val="top"/>
          </w:tcPr>
          <w:p>
            <w:pPr>
              <w:tabs>
                <w:tab w:val="left" w:pos="3060"/>
              </w:tabs>
              <w:spacing w:line="420" w:lineRule="exact"/>
              <w:rPr>
                <w:rFonts w:hint="eastAsia" w:ascii="宋体" w:hAnsi="宋体"/>
                <w:sz w:val="21"/>
                <w:szCs w:val="21"/>
              </w:rPr>
            </w:pPr>
            <w:r>
              <w:rPr>
                <w:rFonts w:hint="eastAsia" w:ascii="宋体" w:hAnsi="宋体"/>
                <w:sz w:val="21"/>
                <w:szCs w:val="21"/>
              </w:rPr>
              <w:t>（1）投标人具备有效的营业执照、组织机构代码证（三证合一的除外）、设计资质证书和基本账户开户许可证（或企业基本存款账户信息相关单据）；</w:t>
            </w:r>
          </w:p>
          <w:p>
            <w:pPr>
              <w:tabs>
                <w:tab w:val="left" w:pos="3060"/>
              </w:tabs>
              <w:spacing w:line="420" w:lineRule="exact"/>
              <w:rPr>
                <w:rFonts w:hint="eastAsia" w:ascii="宋体" w:hAnsi="宋体"/>
                <w:sz w:val="21"/>
                <w:szCs w:val="21"/>
              </w:rPr>
            </w:pPr>
            <w:r>
              <w:rPr>
                <w:rFonts w:hint="eastAsia" w:ascii="宋体" w:hAnsi="宋体"/>
                <w:sz w:val="21"/>
                <w:szCs w:val="21"/>
              </w:rPr>
              <w:t>（2）投标人的资质等级符合招标文件规定；</w:t>
            </w:r>
          </w:p>
          <w:p>
            <w:pPr>
              <w:tabs>
                <w:tab w:val="left" w:pos="3060"/>
              </w:tabs>
              <w:spacing w:line="420" w:lineRule="exact"/>
              <w:rPr>
                <w:rFonts w:hint="eastAsia" w:ascii="宋体" w:hAnsi="宋体"/>
                <w:sz w:val="21"/>
                <w:szCs w:val="21"/>
              </w:rPr>
            </w:pPr>
            <w:r>
              <w:rPr>
                <w:rFonts w:hint="eastAsia" w:ascii="宋体" w:hAnsi="宋体"/>
                <w:sz w:val="21"/>
                <w:szCs w:val="21"/>
              </w:rPr>
              <w:t>（3）投标人的类似项目业绩符合招标文件规定；</w:t>
            </w:r>
          </w:p>
          <w:p>
            <w:pPr>
              <w:tabs>
                <w:tab w:val="left" w:pos="3060"/>
              </w:tabs>
              <w:spacing w:line="420" w:lineRule="exact"/>
              <w:rPr>
                <w:rFonts w:hint="eastAsia" w:ascii="宋体" w:hAnsi="宋体"/>
                <w:sz w:val="21"/>
                <w:szCs w:val="21"/>
              </w:rPr>
            </w:pPr>
            <w:r>
              <w:rPr>
                <w:rFonts w:hint="eastAsia" w:ascii="宋体" w:hAnsi="宋体"/>
                <w:sz w:val="21"/>
                <w:szCs w:val="21"/>
              </w:rPr>
              <w:t>（4）投标人的信誉符合招标文件规定；</w:t>
            </w:r>
          </w:p>
          <w:p>
            <w:pPr>
              <w:tabs>
                <w:tab w:val="left" w:pos="3060"/>
              </w:tabs>
              <w:spacing w:line="420" w:lineRule="exact"/>
              <w:rPr>
                <w:rFonts w:hint="eastAsia" w:ascii="宋体" w:hAnsi="宋体"/>
                <w:sz w:val="21"/>
                <w:szCs w:val="21"/>
              </w:rPr>
            </w:pPr>
            <w:r>
              <w:rPr>
                <w:rFonts w:hint="eastAsia" w:ascii="宋体" w:hAnsi="宋体"/>
                <w:sz w:val="21"/>
                <w:szCs w:val="21"/>
              </w:rPr>
              <w:t xml:space="preserve">（5）投标人的项目负责人资格符合招标文件规定； </w:t>
            </w:r>
          </w:p>
          <w:p>
            <w:pPr>
              <w:tabs>
                <w:tab w:val="left" w:pos="3060"/>
              </w:tabs>
              <w:spacing w:line="420" w:lineRule="exact"/>
              <w:rPr>
                <w:rFonts w:hint="eastAsia" w:ascii="宋体" w:hAnsi="宋体"/>
                <w:sz w:val="21"/>
                <w:szCs w:val="21"/>
              </w:rPr>
            </w:pPr>
            <w:r>
              <w:rPr>
                <w:rFonts w:hint="eastAsia" w:ascii="宋体" w:hAnsi="宋体"/>
                <w:sz w:val="21"/>
                <w:szCs w:val="21"/>
              </w:rPr>
              <w:t>（6）投标人不存在第二章“投标人须知”第1.4.3项或第1.4.4项规定的任何一种情形。</w:t>
            </w:r>
          </w:p>
          <w:p>
            <w:pPr>
              <w:tabs>
                <w:tab w:val="left" w:pos="3060"/>
              </w:tabs>
              <w:spacing w:line="420" w:lineRule="exact"/>
              <w:rPr>
                <w:rFonts w:hint="eastAsia" w:ascii="宋体" w:hAnsi="宋体"/>
                <w:sz w:val="21"/>
                <w:szCs w:val="21"/>
              </w:rPr>
            </w:pPr>
            <w:r>
              <w:rPr>
                <w:rFonts w:hint="eastAsia" w:ascii="宋体" w:hAnsi="宋体"/>
                <w:sz w:val="21"/>
                <w:szCs w:val="21"/>
              </w:rPr>
              <w:t>（</w:t>
            </w:r>
            <w:r>
              <w:rPr>
                <w:rFonts w:ascii="宋体" w:hAnsi="宋体"/>
                <w:sz w:val="21"/>
                <w:szCs w:val="21"/>
              </w:rPr>
              <w:t>7</w:t>
            </w:r>
            <w:r>
              <w:rPr>
                <w:rFonts w:hint="eastAsia" w:ascii="宋体" w:hAnsi="宋体"/>
                <w:sz w:val="21"/>
                <w:szCs w:val="21"/>
              </w:rPr>
              <w:t>）投标人符合第二章“投标人须知”第1.4.5项规定。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035" w:type="dxa"/>
            <w:noWrap w:val="0"/>
            <w:vAlign w:val="center"/>
          </w:tcPr>
          <w:p>
            <w:pPr>
              <w:jc w:val="center"/>
              <w:rPr>
                <w:rFonts w:ascii="宋体" w:hAnsi="宋体"/>
                <w:sz w:val="21"/>
                <w:szCs w:val="21"/>
              </w:rPr>
            </w:pPr>
            <w:r>
              <w:rPr>
                <w:rFonts w:hint="eastAsia" w:ascii="宋体" w:hAnsi="宋体"/>
                <w:sz w:val="21"/>
                <w:szCs w:val="21"/>
              </w:rPr>
              <w:t>2.2.1</w:t>
            </w:r>
          </w:p>
        </w:tc>
        <w:tc>
          <w:tcPr>
            <w:tcW w:w="1231" w:type="dxa"/>
            <w:noWrap w:val="0"/>
            <w:vAlign w:val="center"/>
          </w:tcPr>
          <w:p>
            <w:pPr>
              <w:jc w:val="center"/>
              <w:rPr>
                <w:rFonts w:ascii="宋体" w:hAnsi="宋体"/>
                <w:sz w:val="21"/>
                <w:szCs w:val="21"/>
              </w:rPr>
            </w:pPr>
            <w:r>
              <w:rPr>
                <w:rFonts w:hint="eastAsia" w:ascii="宋体" w:hAnsi="宋体"/>
                <w:sz w:val="21"/>
                <w:szCs w:val="21"/>
              </w:rPr>
              <w:t>分值构成</w:t>
            </w:r>
          </w:p>
        </w:tc>
        <w:tc>
          <w:tcPr>
            <w:tcW w:w="7020" w:type="dxa"/>
            <w:noWrap w:val="0"/>
            <w:vAlign w:val="center"/>
          </w:tcPr>
          <w:p>
            <w:pPr>
              <w:autoSpaceDE w:val="0"/>
              <w:autoSpaceDN w:val="0"/>
              <w:adjustRightInd w:val="0"/>
              <w:spacing w:line="420" w:lineRule="exact"/>
              <w:ind w:left="107"/>
              <w:jc w:val="left"/>
              <w:rPr>
                <w:rFonts w:hint="eastAsia" w:ascii="宋体" w:hAnsi="宋体"/>
                <w:b/>
                <w:kern w:val="0"/>
                <w:sz w:val="21"/>
                <w:szCs w:val="21"/>
              </w:rPr>
            </w:pPr>
            <w:r>
              <w:rPr>
                <w:rFonts w:hint="eastAsia" w:ascii="宋体" w:hAnsi="宋体"/>
                <w:b/>
                <w:kern w:val="0"/>
                <w:sz w:val="21"/>
                <w:szCs w:val="21"/>
              </w:rPr>
              <w:t>第一信封（商务及技术文件）评分分值构成：</w:t>
            </w:r>
          </w:p>
          <w:p>
            <w:pPr>
              <w:autoSpaceDE w:val="0"/>
              <w:autoSpaceDN w:val="0"/>
              <w:adjustRightInd w:val="0"/>
              <w:spacing w:line="420" w:lineRule="exact"/>
              <w:ind w:left="107"/>
              <w:jc w:val="left"/>
              <w:rPr>
                <w:rFonts w:hint="default" w:ascii="宋体" w:hAnsi="宋体" w:eastAsia="宋体" w:cs="宋?"/>
                <w:kern w:val="0"/>
                <w:sz w:val="21"/>
                <w:szCs w:val="21"/>
                <w:lang w:val="en-US" w:eastAsia="zh-CN"/>
              </w:rPr>
            </w:pPr>
            <w:r>
              <w:rPr>
                <w:rFonts w:hint="eastAsia" w:ascii="宋体" w:hAnsi="宋体" w:cs="宋?"/>
                <w:kern w:val="0"/>
                <w:sz w:val="21"/>
                <w:szCs w:val="21"/>
              </w:rPr>
              <w:t>技术建议书：</w:t>
            </w:r>
            <w:r>
              <w:rPr>
                <w:rFonts w:hint="eastAsia" w:ascii="宋体" w:hAnsi="宋体" w:cs="宋?"/>
                <w:kern w:val="0"/>
                <w:sz w:val="21"/>
                <w:szCs w:val="21"/>
                <w:lang w:val="en-US" w:eastAsia="zh-CN"/>
              </w:rPr>
              <w:t>100</w:t>
            </w:r>
            <w:r>
              <w:rPr>
                <w:rFonts w:ascii="宋体" w:hAnsi="宋体" w:cs="宋?"/>
                <w:kern w:val="0"/>
                <w:sz w:val="21"/>
                <w:szCs w:val="21"/>
              </w:rPr>
              <w:t>分</w:t>
            </w:r>
            <w:r>
              <w:rPr>
                <w:rFonts w:hint="eastAsia" w:ascii="宋体" w:hAnsi="宋体" w:cs="宋?"/>
                <w:kern w:val="0"/>
                <w:sz w:val="21"/>
                <w:szCs w:val="21"/>
                <w:lang w:eastAsia="zh-CN"/>
              </w:rPr>
              <w:t>，</w:t>
            </w:r>
            <w:r>
              <w:rPr>
                <w:rFonts w:hint="eastAsia" w:ascii="宋体" w:hAnsi="宋体" w:cs="宋?"/>
                <w:kern w:val="0"/>
                <w:sz w:val="21"/>
                <w:szCs w:val="21"/>
                <w:lang w:val="en-US" w:eastAsia="zh-CN"/>
              </w:rPr>
              <w:t>分值权重45%。</w:t>
            </w:r>
          </w:p>
          <w:p>
            <w:pPr>
              <w:autoSpaceDE w:val="0"/>
              <w:autoSpaceDN w:val="0"/>
              <w:adjustRightInd w:val="0"/>
              <w:spacing w:line="420" w:lineRule="exact"/>
              <w:ind w:left="107"/>
              <w:jc w:val="left"/>
              <w:rPr>
                <w:rFonts w:hint="eastAsia" w:ascii="宋体" w:hAnsi="宋体" w:eastAsia="宋体"/>
                <w:kern w:val="0"/>
                <w:sz w:val="21"/>
                <w:szCs w:val="21"/>
                <w:lang w:eastAsia="zh-CN"/>
              </w:rPr>
            </w:pPr>
            <w:r>
              <w:rPr>
                <w:rFonts w:hint="eastAsia" w:ascii="宋体" w:hAnsi="宋体"/>
                <w:kern w:val="0"/>
                <w:sz w:val="21"/>
                <w:szCs w:val="21"/>
              </w:rPr>
              <w:t>主要人员：</w:t>
            </w:r>
            <w:r>
              <w:rPr>
                <w:rFonts w:hint="eastAsia" w:ascii="宋体" w:hAnsi="宋体"/>
                <w:kern w:val="0"/>
                <w:sz w:val="21"/>
                <w:szCs w:val="21"/>
                <w:lang w:val="en-US" w:eastAsia="zh-CN"/>
              </w:rPr>
              <w:t>100</w:t>
            </w:r>
            <w:r>
              <w:rPr>
                <w:rFonts w:hint="eastAsia" w:ascii="宋体" w:hAnsi="宋体"/>
                <w:kern w:val="0"/>
                <w:sz w:val="21"/>
                <w:szCs w:val="21"/>
              </w:rPr>
              <w:t>分</w:t>
            </w:r>
            <w:r>
              <w:rPr>
                <w:rFonts w:hint="eastAsia" w:ascii="宋体" w:hAnsi="宋体"/>
                <w:kern w:val="0"/>
                <w:sz w:val="21"/>
                <w:szCs w:val="21"/>
                <w:lang w:eastAsia="zh-CN"/>
              </w:rPr>
              <w:t>，</w:t>
            </w:r>
            <w:r>
              <w:rPr>
                <w:rFonts w:hint="eastAsia" w:ascii="宋体" w:hAnsi="宋体" w:cs="宋?"/>
                <w:kern w:val="0"/>
                <w:sz w:val="21"/>
                <w:szCs w:val="21"/>
                <w:lang w:val="en-US" w:eastAsia="zh-CN"/>
              </w:rPr>
              <w:t>分值权重20%。</w:t>
            </w:r>
          </w:p>
          <w:p>
            <w:pPr>
              <w:autoSpaceDE w:val="0"/>
              <w:autoSpaceDN w:val="0"/>
              <w:adjustRightInd w:val="0"/>
              <w:spacing w:line="420" w:lineRule="exact"/>
              <w:ind w:left="107"/>
              <w:jc w:val="left"/>
              <w:rPr>
                <w:rFonts w:hint="eastAsia" w:ascii="宋体" w:hAnsi="宋体" w:eastAsia="宋体"/>
                <w:kern w:val="0"/>
                <w:sz w:val="21"/>
                <w:szCs w:val="21"/>
                <w:lang w:eastAsia="zh-CN"/>
              </w:rPr>
            </w:pPr>
            <w:r>
              <w:rPr>
                <w:rFonts w:hint="eastAsia" w:ascii="宋体" w:hAnsi="宋体"/>
                <w:kern w:val="0"/>
                <w:sz w:val="21"/>
                <w:szCs w:val="21"/>
              </w:rPr>
              <w:t>业    绩：</w:t>
            </w:r>
            <w:r>
              <w:rPr>
                <w:rFonts w:hint="eastAsia" w:ascii="宋体" w:hAnsi="宋体"/>
                <w:kern w:val="0"/>
                <w:sz w:val="21"/>
                <w:szCs w:val="21"/>
                <w:lang w:val="en-US" w:eastAsia="zh-CN"/>
              </w:rPr>
              <w:t>100</w:t>
            </w:r>
            <w:r>
              <w:rPr>
                <w:rFonts w:hint="eastAsia" w:ascii="宋体" w:hAnsi="宋体"/>
                <w:kern w:val="0"/>
                <w:sz w:val="21"/>
                <w:szCs w:val="21"/>
              </w:rPr>
              <w:t>分</w:t>
            </w:r>
            <w:r>
              <w:rPr>
                <w:rFonts w:hint="eastAsia" w:ascii="宋体" w:hAnsi="宋体"/>
                <w:kern w:val="0"/>
                <w:sz w:val="21"/>
                <w:szCs w:val="21"/>
                <w:lang w:eastAsia="zh-CN"/>
              </w:rPr>
              <w:t>，</w:t>
            </w:r>
            <w:r>
              <w:rPr>
                <w:rFonts w:hint="eastAsia" w:ascii="宋体" w:hAnsi="宋体" w:cs="宋?"/>
                <w:kern w:val="0"/>
                <w:sz w:val="21"/>
                <w:szCs w:val="21"/>
                <w:lang w:val="en-US" w:eastAsia="zh-CN"/>
              </w:rPr>
              <w:t>分值权重25%。</w:t>
            </w:r>
          </w:p>
          <w:p>
            <w:pPr>
              <w:autoSpaceDE w:val="0"/>
              <w:autoSpaceDN w:val="0"/>
              <w:adjustRightInd w:val="0"/>
              <w:spacing w:line="420" w:lineRule="exact"/>
              <w:ind w:left="107"/>
              <w:jc w:val="left"/>
              <w:rPr>
                <w:rFonts w:hint="eastAsia" w:ascii="宋体" w:hAnsi="宋体"/>
                <w:b/>
                <w:kern w:val="0"/>
                <w:sz w:val="21"/>
                <w:szCs w:val="21"/>
              </w:rPr>
            </w:pPr>
            <w:r>
              <w:rPr>
                <w:rFonts w:hint="eastAsia" w:ascii="宋体" w:hAnsi="宋体"/>
                <w:b/>
                <w:kern w:val="0"/>
                <w:sz w:val="21"/>
                <w:szCs w:val="21"/>
              </w:rPr>
              <w:t>第二信封（报价文件）评分分值构成：</w:t>
            </w:r>
          </w:p>
          <w:p>
            <w:pPr>
              <w:autoSpaceDE w:val="0"/>
              <w:autoSpaceDN w:val="0"/>
              <w:adjustRightInd w:val="0"/>
              <w:spacing w:line="420" w:lineRule="exact"/>
              <w:ind w:left="107"/>
              <w:jc w:val="left"/>
              <w:rPr>
                <w:rFonts w:ascii="宋体" w:hAnsi="宋体"/>
                <w:sz w:val="21"/>
                <w:szCs w:val="21"/>
              </w:rPr>
            </w:pPr>
            <w:r>
              <w:rPr>
                <w:rFonts w:hint="eastAsia" w:ascii="宋体" w:hAnsi="宋体"/>
                <w:sz w:val="21"/>
                <w:szCs w:val="21"/>
              </w:rPr>
              <w:t>评标价：10</w:t>
            </w:r>
            <w:r>
              <w:rPr>
                <w:rFonts w:hint="eastAsia" w:ascii="宋体" w:hAnsi="宋体"/>
                <w:sz w:val="21"/>
                <w:szCs w:val="21"/>
                <w:lang w:val="en-US" w:eastAsia="zh-CN"/>
              </w:rPr>
              <w:t>0</w:t>
            </w:r>
            <w:r>
              <w:rPr>
                <w:rFonts w:hint="eastAsia" w:ascii="宋体" w:hAnsi="宋体"/>
                <w:sz w:val="21"/>
                <w:szCs w:val="21"/>
              </w:rPr>
              <w:t>分</w:t>
            </w:r>
            <w:r>
              <w:rPr>
                <w:rFonts w:hint="eastAsia" w:ascii="宋体" w:hAnsi="宋体"/>
                <w:sz w:val="21"/>
                <w:szCs w:val="21"/>
                <w:lang w:eastAsia="zh-CN"/>
              </w:rPr>
              <w:t>，</w:t>
            </w:r>
            <w:r>
              <w:rPr>
                <w:rFonts w:hint="eastAsia" w:ascii="宋体" w:hAnsi="宋体" w:cs="宋?"/>
                <w:kern w:val="0"/>
                <w:sz w:val="21"/>
                <w:szCs w:val="21"/>
                <w:lang w:val="en-US" w:eastAsia="zh-CN"/>
              </w:rPr>
              <w:t>分值权重10%。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35" w:type="dxa"/>
            <w:noWrap w:val="0"/>
            <w:vAlign w:val="center"/>
          </w:tcPr>
          <w:p>
            <w:pPr>
              <w:ind w:right="113"/>
              <w:jc w:val="center"/>
              <w:rPr>
                <w:rFonts w:hint="eastAsia" w:ascii="宋体" w:hAnsi="宋体"/>
                <w:sz w:val="21"/>
                <w:szCs w:val="21"/>
              </w:rPr>
            </w:pPr>
            <w:r>
              <w:rPr>
                <w:rFonts w:hint="eastAsia" w:ascii="宋体" w:hAnsi="宋体"/>
                <w:sz w:val="21"/>
                <w:szCs w:val="21"/>
              </w:rPr>
              <w:t>2.2.2</w:t>
            </w:r>
          </w:p>
        </w:tc>
        <w:tc>
          <w:tcPr>
            <w:tcW w:w="1231" w:type="dxa"/>
            <w:noWrap w:val="0"/>
            <w:vAlign w:val="center"/>
          </w:tcPr>
          <w:p>
            <w:pPr>
              <w:ind w:left="113" w:right="113" w:firstLine="210" w:firstLineChars="100"/>
              <w:jc w:val="center"/>
              <w:rPr>
                <w:rFonts w:hint="eastAsia" w:ascii="宋体" w:hAnsi="宋体"/>
                <w:sz w:val="21"/>
                <w:szCs w:val="21"/>
              </w:rPr>
            </w:pPr>
            <w:r>
              <w:rPr>
                <w:rFonts w:hint="eastAsia" w:ascii="宋体" w:hAnsi="宋体"/>
                <w:sz w:val="21"/>
                <w:szCs w:val="21"/>
              </w:rPr>
              <w:t>评标基准价计算方法</w:t>
            </w:r>
          </w:p>
        </w:tc>
        <w:tc>
          <w:tcPr>
            <w:tcW w:w="7020" w:type="dxa"/>
            <w:noWrap w:val="0"/>
            <w:vAlign w:val="center"/>
          </w:tcPr>
          <w:p>
            <w:pPr>
              <w:spacing w:line="420" w:lineRule="exact"/>
              <w:ind w:right="113"/>
              <w:rPr>
                <w:rFonts w:hint="eastAsia" w:ascii="宋体" w:hAnsi="宋体"/>
                <w:sz w:val="21"/>
                <w:szCs w:val="21"/>
              </w:rPr>
            </w:pPr>
            <w:r>
              <w:rPr>
                <w:rFonts w:hint="eastAsia" w:ascii="宋体" w:hAnsi="宋体"/>
                <w:sz w:val="21"/>
                <w:szCs w:val="21"/>
              </w:rPr>
              <w:t>评标基准价的计算：</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在第二个信封开标现场，招标人将当场计算并宣布评标基准价。</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（1）评标价的确定：</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评标价=投标函文字报价</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（2）评标价平均值的计算：</w:t>
            </w:r>
          </w:p>
          <w:p>
            <w:pPr>
              <w:spacing w:line="420" w:lineRule="exact"/>
              <w:ind w:left="112" w:leftChars="40" w:right="113" w:firstLine="420" w:firstLineChars="200"/>
              <w:rPr>
                <w:rFonts w:hint="eastAsia" w:ascii="宋体" w:hAnsi="宋体"/>
                <w:sz w:val="21"/>
                <w:szCs w:val="21"/>
              </w:rPr>
            </w:pPr>
            <w:r>
              <w:rPr>
                <w:rFonts w:hint="eastAsia" w:ascii="宋体" w:hAnsi="宋体"/>
                <w:kern w:val="2"/>
                <w:sz w:val="21"/>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r>
              <w:rPr>
                <w:rFonts w:hint="eastAsia" w:ascii="宋体" w:hAnsi="宋体"/>
                <w:sz w:val="21"/>
                <w:szCs w:val="21"/>
              </w:rPr>
              <w:t>。</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（3）评标基准价的确定：</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将评标价平均值直接作为评标基准价（评标基准价保留小数点后两位，小数点后第三位四舍五入）。</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35" w:type="dxa"/>
            <w:noWrap w:val="0"/>
            <w:vAlign w:val="center"/>
          </w:tcPr>
          <w:p>
            <w:pPr>
              <w:ind w:right="113"/>
              <w:jc w:val="center"/>
              <w:rPr>
                <w:rFonts w:hint="eastAsia" w:ascii="宋体" w:hAnsi="宋体"/>
                <w:sz w:val="21"/>
                <w:szCs w:val="21"/>
              </w:rPr>
            </w:pPr>
            <w:r>
              <w:rPr>
                <w:rFonts w:hint="eastAsia" w:ascii="宋体" w:hAnsi="宋体"/>
                <w:sz w:val="21"/>
                <w:szCs w:val="21"/>
              </w:rPr>
              <w:t>2.2.3</w:t>
            </w:r>
          </w:p>
        </w:tc>
        <w:tc>
          <w:tcPr>
            <w:tcW w:w="1231" w:type="dxa"/>
            <w:noWrap w:val="0"/>
            <w:vAlign w:val="center"/>
          </w:tcPr>
          <w:p>
            <w:pPr>
              <w:ind w:left="113" w:right="113"/>
              <w:rPr>
                <w:rFonts w:hint="eastAsia" w:ascii="宋体" w:hAnsi="宋体"/>
                <w:sz w:val="21"/>
                <w:szCs w:val="21"/>
              </w:rPr>
            </w:pPr>
            <w:r>
              <w:rPr>
                <w:rFonts w:hint="eastAsia" w:ascii="宋体" w:hAnsi="宋体"/>
                <w:sz w:val="21"/>
                <w:szCs w:val="21"/>
              </w:rPr>
              <w:t>评标价的偏差率计算公式</w:t>
            </w:r>
          </w:p>
        </w:tc>
        <w:tc>
          <w:tcPr>
            <w:tcW w:w="7020" w:type="dxa"/>
            <w:noWrap w:val="0"/>
            <w:vAlign w:val="center"/>
          </w:tcPr>
          <w:p>
            <w:pPr>
              <w:tabs>
                <w:tab w:val="left" w:pos="302"/>
              </w:tabs>
              <w:spacing w:line="420" w:lineRule="exact"/>
              <w:ind w:left="113" w:right="113" w:firstLine="210" w:firstLineChars="100"/>
              <w:rPr>
                <w:rFonts w:hint="eastAsia" w:ascii="宋体" w:hAnsi="宋体"/>
                <w:sz w:val="21"/>
                <w:szCs w:val="21"/>
              </w:rPr>
            </w:pPr>
            <w:r>
              <w:rPr>
                <w:rFonts w:hint="eastAsia" w:ascii="宋体" w:hAnsi="宋体"/>
                <w:sz w:val="21"/>
                <w:szCs w:val="21"/>
              </w:rPr>
              <w:t>偏差率=100%×（投标人评标价-评标基准价）/评标基准价</w:t>
            </w:r>
          </w:p>
          <w:p>
            <w:pPr>
              <w:spacing w:line="420" w:lineRule="exact"/>
              <w:ind w:left="113" w:right="113" w:firstLine="210" w:firstLineChars="100"/>
              <w:rPr>
                <w:rFonts w:hint="eastAsia" w:ascii="宋体" w:hAnsi="宋体"/>
                <w:sz w:val="21"/>
                <w:szCs w:val="21"/>
              </w:rPr>
            </w:pPr>
            <w:r>
              <w:rPr>
                <w:rFonts w:hint="eastAsia" w:ascii="宋体" w:hAnsi="宋体"/>
                <w:sz w:val="21"/>
                <w:szCs w:val="21"/>
              </w:rPr>
              <w:t>偏差率保留</w:t>
            </w:r>
            <w:r>
              <w:rPr>
                <w:rFonts w:hint="eastAsia" w:ascii="宋体" w:hAnsi="宋体"/>
                <w:sz w:val="21"/>
                <w:szCs w:val="21"/>
                <w:u w:val="single"/>
              </w:rPr>
              <w:t>2</w:t>
            </w:r>
            <w:r>
              <w:rPr>
                <w:rFonts w:hint="eastAsia" w:ascii="宋体" w:hAnsi="宋体"/>
                <w:sz w:val="21"/>
                <w:szCs w:val="21"/>
              </w:rPr>
              <w:t>位小数</w:t>
            </w:r>
          </w:p>
        </w:tc>
      </w:tr>
    </w:tbl>
    <w:p>
      <w:pPr>
        <w:ind w:firstLine="11340" w:firstLineChars="4050"/>
        <w:rPr>
          <w:rFonts w:ascii="宋体" w:hAnsi="宋体"/>
          <w:szCs w:val="21"/>
        </w:rPr>
      </w:pPr>
    </w:p>
    <w:p>
      <w:pPr>
        <w:jc w:val="right"/>
        <w:rPr>
          <w:rFonts w:ascii="宋体" w:hAnsi="宋体"/>
          <w:sz w:val="24"/>
        </w:rPr>
      </w:pPr>
    </w:p>
    <w:p>
      <w:pPr>
        <w:jc w:val="right"/>
        <w:rPr>
          <w:rFonts w:ascii="宋体" w:hAnsi="宋体"/>
          <w:sz w:val="24"/>
        </w:rPr>
      </w:pPr>
    </w:p>
    <w:p>
      <w:pPr>
        <w:jc w:val="right"/>
        <w:rPr>
          <w:rFonts w:ascii="宋体" w:hAnsi="宋体"/>
          <w:szCs w:val="21"/>
        </w:rPr>
      </w:pPr>
      <w:r>
        <w:rPr>
          <w:rFonts w:ascii="宋体" w:hAnsi="宋体"/>
          <w:sz w:val="24"/>
        </w:rPr>
        <w:br w:type="page"/>
      </w:r>
      <w:r>
        <w:rPr>
          <w:rFonts w:hint="eastAsia" w:ascii="宋体" w:hAnsi="宋体"/>
          <w:sz w:val="24"/>
        </w:rPr>
        <w:t>续上表</w:t>
      </w:r>
    </w:p>
    <w:tbl>
      <w:tblPr>
        <w:tblStyle w:val="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39"/>
        <w:gridCol w:w="604"/>
        <w:gridCol w:w="851"/>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noWrap w:val="0"/>
            <w:vAlign w:val="center"/>
          </w:tcPr>
          <w:p>
            <w:pPr>
              <w:pStyle w:val="7"/>
              <w:spacing w:line="160" w:lineRule="atLeast"/>
              <w:jc w:val="center"/>
              <w:rPr>
                <w:rFonts w:hint="eastAsia" w:hAnsi="宋体"/>
                <w:szCs w:val="21"/>
              </w:rPr>
            </w:pPr>
            <w:r>
              <w:rPr>
                <w:rFonts w:hint="eastAsia" w:hAnsi="宋体"/>
                <w:szCs w:val="21"/>
              </w:rPr>
              <w:t>评分因素与权重分值</w:t>
            </w:r>
          </w:p>
        </w:tc>
        <w:tc>
          <w:tcPr>
            <w:tcW w:w="5496" w:type="dxa"/>
            <w:gridSpan w:val="2"/>
            <w:vMerge w:val="restart"/>
            <w:noWrap w:val="0"/>
            <w:vAlign w:val="center"/>
          </w:tcPr>
          <w:p>
            <w:pPr>
              <w:pStyle w:val="7"/>
              <w:spacing w:line="160" w:lineRule="atLeast"/>
              <w:jc w:val="center"/>
              <w:rPr>
                <w:rFonts w:hint="eastAsia" w:hAnsi="宋体"/>
                <w:szCs w:val="21"/>
              </w:rPr>
            </w:pPr>
            <w:r>
              <w:rPr>
                <w:rFonts w:hint="eastAsia"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noWrap w:val="0"/>
            <w:vAlign w:val="center"/>
          </w:tcPr>
          <w:p>
            <w:pPr>
              <w:pStyle w:val="7"/>
              <w:spacing w:line="160" w:lineRule="atLeast"/>
              <w:jc w:val="center"/>
              <w:rPr>
                <w:rFonts w:hAnsi="宋体"/>
                <w:szCs w:val="21"/>
              </w:rPr>
            </w:pPr>
            <w:r>
              <w:rPr>
                <w:rFonts w:hint="eastAsia" w:hAnsi="宋体"/>
                <w:szCs w:val="21"/>
              </w:rPr>
              <w:t>条款号</w:t>
            </w:r>
          </w:p>
        </w:tc>
        <w:tc>
          <w:tcPr>
            <w:tcW w:w="741" w:type="dxa"/>
            <w:noWrap w:val="0"/>
            <w:vAlign w:val="center"/>
          </w:tcPr>
          <w:p>
            <w:pPr>
              <w:pStyle w:val="7"/>
              <w:spacing w:line="160" w:lineRule="atLeast"/>
              <w:jc w:val="center"/>
              <w:rPr>
                <w:rFonts w:hint="eastAsia" w:hAnsi="宋体"/>
                <w:szCs w:val="21"/>
              </w:rPr>
            </w:pPr>
            <w:r>
              <w:rPr>
                <w:rFonts w:hint="eastAsia" w:hAnsi="宋体"/>
                <w:szCs w:val="21"/>
              </w:rPr>
              <w:t>评分因素</w:t>
            </w:r>
          </w:p>
        </w:tc>
        <w:tc>
          <w:tcPr>
            <w:tcW w:w="831" w:type="dxa"/>
            <w:noWrap w:val="0"/>
            <w:vAlign w:val="center"/>
          </w:tcPr>
          <w:p>
            <w:pPr>
              <w:pStyle w:val="7"/>
              <w:spacing w:line="160" w:lineRule="atLeast"/>
              <w:jc w:val="center"/>
              <w:rPr>
                <w:rFonts w:hAnsi="宋体"/>
                <w:szCs w:val="21"/>
              </w:rPr>
            </w:pPr>
            <w:r>
              <w:rPr>
                <w:rFonts w:hint="eastAsia" w:hAnsi="宋体"/>
                <w:szCs w:val="21"/>
              </w:rPr>
              <w:t>评分因素 权重分值</w:t>
            </w:r>
          </w:p>
        </w:tc>
        <w:tc>
          <w:tcPr>
            <w:tcW w:w="1239" w:type="dxa"/>
            <w:noWrap w:val="0"/>
            <w:vAlign w:val="center"/>
          </w:tcPr>
          <w:p>
            <w:pPr>
              <w:pStyle w:val="7"/>
              <w:spacing w:line="160" w:lineRule="atLeast"/>
              <w:jc w:val="center"/>
              <w:rPr>
                <w:rFonts w:hAnsi="宋体"/>
                <w:szCs w:val="21"/>
              </w:rPr>
            </w:pPr>
            <w:r>
              <w:rPr>
                <w:rStyle w:val="13"/>
                <w:color w:val="auto"/>
              </w:rPr>
              <w:t>各评分因素细分项</w:t>
            </w:r>
          </w:p>
        </w:tc>
        <w:tc>
          <w:tcPr>
            <w:tcW w:w="604" w:type="dxa"/>
            <w:noWrap w:val="0"/>
            <w:vAlign w:val="center"/>
          </w:tcPr>
          <w:p>
            <w:pPr>
              <w:pStyle w:val="7"/>
              <w:spacing w:line="160" w:lineRule="atLeast"/>
              <w:jc w:val="center"/>
              <w:rPr>
                <w:rFonts w:hAnsi="宋体"/>
                <w:szCs w:val="21"/>
              </w:rPr>
            </w:pPr>
            <w:r>
              <w:rPr>
                <w:rFonts w:hint="eastAsia" w:hAnsi="宋体"/>
                <w:szCs w:val="21"/>
              </w:rPr>
              <w:t>分值</w:t>
            </w:r>
          </w:p>
        </w:tc>
        <w:tc>
          <w:tcPr>
            <w:tcW w:w="5496" w:type="dxa"/>
            <w:gridSpan w:val="2"/>
            <w:vMerge w:val="continue"/>
            <w:noWrap w:val="0"/>
            <w:vAlign w:val="center"/>
          </w:tcPr>
          <w:p>
            <w:pPr>
              <w:pStyle w:val="7"/>
              <w:spacing w:line="160" w:lineRule="atLeas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noWrap w:val="0"/>
            <w:vAlign w:val="center"/>
          </w:tcPr>
          <w:p>
            <w:pPr>
              <w:pStyle w:val="7"/>
              <w:spacing w:line="160" w:lineRule="atLeast"/>
              <w:jc w:val="center"/>
              <w:rPr>
                <w:rFonts w:hAnsi="宋体"/>
                <w:szCs w:val="21"/>
              </w:rPr>
            </w:pPr>
            <w:r>
              <w:rPr>
                <w:rFonts w:hint="eastAsia" w:hAnsi="宋体"/>
                <w:szCs w:val="21"/>
              </w:rPr>
              <w:t>2.2.4（1）</w:t>
            </w:r>
          </w:p>
        </w:tc>
        <w:tc>
          <w:tcPr>
            <w:tcW w:w="741" w:type="dxa"/>
            <w:vMerge w:val="restart"/>
            <w:noWrap w:val="0"/>
            <w:vAlign w:val="center"/>
          </w:tcPr>
          <w:p>
            <w:pPr>
              <w:pStyle w:val="7"/>
              <w:spacing w:line="160" w:lineRule="atLeast"/>
              <w:jc w:val="center"/>
              <w:rPr>
                <w:rFonts w:hint="eastAsia" w:hAnsi="宋体"/>
                <w:szCs w:val="21"/>
              </w:rPr>
            </w:pPr>
            <w:r>
              <w:rPr>
                <w:rFonts w:hint="eastAsia" w:hAnsi="宋体"/>
                <w:szCs w:val="21"/>
              </w:rPr>
              <w:t>技术建议书</w:t>
            </w:r>
          </w:p>
        </w:tc>
        <w:tc>
          <w:tcPr>
            <w:tcW w:w="831"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100</w:t>
            </w:r>
            <w:r>
              <w:rPr>
                <w:rFonts w:hint="eastAsia" w:hAnsi="宋体"/>
                <w:szCs w:val="21"/>
              </w:rPr>
              <w:t>分</w:t>
            </w:r>
          </w:p>
        </w:tc>
        <w:tc>
          <w:tcPr>
            <w:tcW w:w="1239" w:type="dxa"/>
            <w:vMerge w:val="restart"/>
            <w:noWrap w:val="0"/>
            <w:vAlign w:val="center"/>
          </w:tcPr>
          <w:p>
            <w:pPr>
              <w:pStyle w:val="7"/>
              <w:spacing w:line="160" w:lineRule="atLeast"/>
              <w:jc w:val="center"/>
              <w:rPr>
                <w:rFonts w:hint="eastAsia" w:hAnsi="宋体"/>
                <w:szCs w:val="21"/>
              </w:rPr>
            </w:pPr>
            <w:r>
              <w:rPr>
                <w:rFonts w:hint="eastAsia" w:hAnsi="宋体"/>
                <w:szCs w:val="21"/>
              </w:rPr>
              <w:t>对招标项目的理解和总体设计思路</w:t>
            </w:r>
          </w:p>
        </w:tc>
        <w:tc>
          <w:tcPr>
            <w:tcW w:w="604"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20</w:t>
            </w:r>
            <w:r>
              <w:rPr>
                <w:rFonts w:hint="eastAsia" w:hAnsi="宋体"/>
                <w:szCs w:val="21"/>
              </w:rPr>
              <w:t>分</w:t>
            </w:r>
          </w:p>
        </w:tc>
        <w:tc>
          <w:tcPr>
            <w:tcW w:w="851" w:type="dxa"/>
            <w:vMerge w:val="restart"/>
            <w:noWrap w:val="0"/>
            <w:vAlign w:val="center"/>
          </w:tcPr>
          <w:p>
            <w:pPr>
              <w:pStyle w:val="7"/>
              <w:spacing w:line="300" w:lineRule="exact"/>
              <w:jc w:val="center"/>
              <w:rPr>
                <w:rFonts w:hAnsi="宋体"/>
                <w:szCs w:val="21"/>
              </w:rPr>
            </w:pPr>
            <w:r>
              <w:rPr>
                <w:rFonts w:hint="eastAsia" w:hAnsi="宋体"/>
                <w:szCs w:val="21"/>
              </w:rPr>
              <w:t>对招标项目的理解（</w:t>
            </w:r>
            <w:r>
              <w:rPr>
                <w:rFonts w:hint="eastAsia" w:hAnsi="宋体"/>
                <w:szCs w:val="21"/>
                <w:lang w:val="en-US" w:eastAsia="zh-CN"/>
              </w:rPr>
              <w:t>10</w:t>
            </w:r>
            <w:r>
              <w:rPr>
                <w:rFonts w:hint="eastAsia" w:hAnsi="宋体"/>
                <w:szCs w:val="21"/>
              </w:rPr>
              <w:t>分）</w:t>
            </w:r>
          </w:p>
        </w:tc>
        <w:tc>
          <w:tcPr>
            <w:tcW w:w="4645" w:type="dxa"/>
            <w:noWrap w:val="0"/>
            <w:vAlign w:val="center"/>
          </w:tcPr>
          <w:p>
            <w:pPr>
              <w:pStyle w:val="7"/>
              <w:jc w:val="left"/>
              <w:rPr>
                <w:rFonts w:hAnsi="宋体"/>
                <w:szCs w:val="21"/>
              </w:rPr>
            </w:pPr>
            <w:r>
              <w:rPr>
                <w:rFonts w:hint="eastAsia" w:hAnsi="宋体"/>
                <w:szCs w:val="21"/>
              </w:rPr>
              <w:t>对本项目名称、所在地区、建设规模、所处路网地位、主要工作内容、工期承诺等阐述基本全面，得</w:t>
            </w:r>
            <w:r>
              <w:rPr>
                <w:rFonts w:hint="eastAsia" w:hAnsi="宋体"/>
                <w:szCs w:val="21"/>
                <w:lang w:val="en-US" w:eastAsia="zh-CN"/>
              </w:rPr>
              <w:t>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pPr>
              <w:pStyle w:val="7"/>
              <w:spacing w:line="160" w:lineRule="atLeast"/>
              <w:jc w:val="center"/>
              <w:rPr>
                <w:rFonts w:hAnsi="宋体"/>
                <w:szCs w:val="21"/>
              </w:rPr>
            </w:pPr>
          </w:p>
        </w:tc>
        <w:tc>
          <w:tcPr>
            <w:tcW w:w="741" w:type="dxa"/>
            <w:vMerge w:val="continue"/>
            <w:noWrap w:val="0"/>
            <w:vAlign w:val="center"/>
          </w:tcPr>
          <w:p>
            <w:pPr>
              <w:pStyle w:val="7"/>
              <w:spacing w:line="160" w:lineRule="atLeast"/>
              <w:jc w:val="center"/>
              <w:rPr>
                <w:rFonts w:hAnsi="宋体"/>
                <w:szCs w:val="21"/>
              </w:rPr>
            </w:pPr>
          </w:p>
        </w:tc>
        <w:tc>
          <w:tcPr>
            <w:tcW w:w="831" w:type="dxa"/>
            <w:vMerge w:val="continue"/>
            <w:noWrap w:val="0"/>
            <w:vAlign w:val="center"/>
          </w:tcPr>
          <w:p>
            <w:pPr>
              <w:pStyle w:val="7"/>
              <w:spacing w:line="160" w:lineRule="atLeast"/>
              <w:jc w:val="center"/>
              <w:rPr>
                <w:rFonts w:hAnsi="宋体"/>
                <w:szCs w:val="21"/>
              </w:rPr>
            </w:pPr>
          </w:p>
        </w:tc>
        <w:tc>
          <w:tcPr>
            <w:tcW w:w="1239" w:type="dxa"/>
            <w:vMerge w:val="continue"/>
            <w:noWrap w:val="0"/>
            <w:vAlign w:val="center"/>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851" w:type="dxa"/>
            <w:vMerge w:val="continue"/>
            <w:noWrap w:val="0"/>
            <w:vAlign w:val="center"/>
          </w:tcPr>
          <w:p>
            <w:pPr>
              <w:pStyle w:val="7"/>
              <w:spacing w:line="300" w:lineRule="exact"/>
              <w:jc w:val="center"/>
              <w:rPr>
                <w:rFonts w:hAnsi="宋体"/>
                <w:szCs w:val="21"/>
              </w:rPr>
            </w:pPr>
          </w:p>
        </w:tc>
        <w:tc>
          <w:tcPr>
            <w:tcW w:w="4645" w:type="dxa"/>
            <w:noWrap w:val="0"/>
            <w:vAlign w:val="center"/>
          </w:tcPr>
          <w:p>
            <w:pPr>
              <w:pStyle w:val="7"/>
              <w:jc w:val="left"/>
              <w:rPr>
                <w:rFonts w:hAnsi="宋体"/>
                <w:spacing w:val="-4"/>
                <w:szCs w:val="21"/>
              </w:rPr>
            </w:pPr>
            <w:r>
              <w:rPr>
                <w:rFonts w:hint="eastAsia" w:hAnsi="宋体"/>
                <w:spacing w:val="-4"/>
                <w:szCs w:val="21"/>
              </w:rPr>
              <w:t>对本项目名称、所在地区、建设规模、所处路网地位、主要工作内容、工期承诺等阐述全面，无漏项，得</w:t>
            </w:r>
            <w:r>
              <w:rPr>
                <w:rFonts w:hint="eastAsia" w:hAnsi="宋体"/>
                <w:spacing w:val="-4"/>
                <w:szCs w:val="21"/>
                <w:lang w:val="en-US" w:eastAsia="zh-CN"/>
              </w:rPr>
              <w:t>6</w:t>
            </w:r>
            <w:r>
              <w:rPr>
                <w:rFonts w:hint="eastAsia" w:hAnsi="宋体"/>
                <w:spacing w:val="-4"/>
                <w:szCs w:val="21"/>
              </w:rPr>
              <w:t>.</w:t>
            </w:r>
            <w:r>
              <w:rPr>
                <w:rFonts w:hint="eastAsia" w:hAnsi="宋体"/>
                <w:spacing w:val="-4"/>
                <w:szCs w:val="21"/>
                <w:lang w:val="en-US" w:eastAsia="zh-CN"/>
              </w:rPr>
              <w:t>0</w:t>
            </w:r>
            <w:r>
              <w:rPr>
                <w:rFonts w:hint="eastAsia" w:hAnsi="宋体"/>
                <w:spacing w:val="-4"/>
                <w:szCs w:val="21"/>
              </w:rPr>
              <w:t>1</w:t>
            </w:r>
            <w:r>
              <w:rPr>
                <w:rFonts w:hAnsi="宋体"/>
                <w:spacing w:val="-4"/>
                <w:szCs w:val="21"/>
              </w:rPr>
              <w:t>-</w:t>
            </w:r>
            <w:r>
              <w:rPr>
                <w:rFonts w:hint="eastAsia" w:hAnsi="宋体"/>
                <w:spacing w:val="-4"/>
                <w:szCs w:val="21"/>
                <w:lang w:val="en-US" w:eastAsia="zh-CN"/>
              </w:rPr>
              <w:t>8</w:t>
            </w:r>
            <w:r>
              <w:rPr>
                <w:rFonts w:hint="eastAsia" w:hAnsi="宋体"/>
                <w:spacing w:val="-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pPr>
              <w:pStyle w:val="7"/>
              <w:spacing w:line="160" w:lineRule="atLeast"/>
              <w:jc w:val="center"/>
              <w:rPr>
                <w:rFonts w:hAnsi="宋体"/>
                <w:szCs w:val="21"/>
              </w:rPr>
            </w:pPr>
          </w:p>
        </w:tc>
        <w:tc>
          <w:tcPr>
            <w:tcW w:w="741" w:type="dxa"/>
            <w:vMerge w:val="continue"/>
            <w:noWrap w:val="0"/>
            <w:vAlign w:val="center"/>
          </w:tcPr>
          <w:p>
            <w:pPr>
              <w:pStyle w:val="7"/>
              <w:spacing w:line="160" w:lineRule="atLeast"/>
              <w:jc w:val="center"/>
              <w:rPr>
                <w:rFonts w:hAnsi="宋体"/>
                <w:szCs w:val="21"/>
              </w:rPr>
            </w:pPr>
          </w:p>
        </w:tc>
        <w:tc>
          <w:tcPr>
            <w:tcW w:w="831" w:type="dxa"/>
            <w:vMerge w:val="continue"/>
            <w:noWrap w:val="0"/>
            <w:vAlign w:val="center"/>
          </w:tcPr>
          <w:p>
            <w:pPr>
              <w:pStyle w:val="7"/>
              <w:spacing w:line="160" w:lineRule="atLeast"/>
              <w:jc w:val="center"/>
              <w:rPr>
                <w:rFonts w:hAnsi="宋体"/>
                <w:szCs w:val="21"/>
              </w:rPr>
            </w:pPr>
          </w:p>
        </w:tc>
        <w:tc>
          <w:tcPr>
            <w:tcW w:w="1239" w:type="dxa"/>
            <w:vMerge w:val="continue"/>
            <w:noWrap w:val="0"/>
            <w:vAlign w:val="center"/>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851" w:type="dxa"/>
            <w:vMerge w:val="continue"/>
            <w:noWrap w:val="0"/>
            <w:vAlign w:val="center"/>
          </w:tcPr>
          <w:p>
            <w:pPr>
              <w:pStyle w:val="7"/>
              <w:spacing w:line="300" w:lineRule="exact"/>
              <w:jc w:val="center"/>
              <w:rPr>
                <w:rFonts w:hAnsi="宋体"/>
                <w:szCs w:val="21"/>
              </w:rPr>
            </w:pPr>
          </w:p>
        </w:tc>
        <w:tc>
          <w:tcPr>
            <w:tcW w:w="4645" w:type="dxa"/>
            <w:noWrap w:val="0"/>
            <w:vAlign w:val="center"/>
          </w:tcPr>
          <w:p>
            <w:pPr>
              <w:pStyle w:val="7"/>
              <w:jc w:val="left"/>
              <w:rPr>
                <w:rFonts w:hAnsi="宋体"/>
                <w:szCs w:val="21"/>
              </w:rPr>
            </w:pPr>
            <w:r>
              <w:rPr>
                <w:rFonts w:hint="eastAsia" w:hAnsi="宋体"/>
                <w:szCs w:val="21"/>
              </w:rPr>
              <w:t>对本项目名称、所在地区、建设规模、所处路网地位、主要工作内容、工期承诺等阐述全面、合理，符合项目要求，得</w:t>
            </w:r>
            <w:r>
              <w:rPr>
                <w:rFonts w:hint="eastAsia" w:hAnsi="宋体"/>
                <w:szCs w:val="21"/>
                <w:lang w:val="en-US" w:eastAsia="zh-CN"/>
              </w:rPr>
              <w:t>8</w:t>
            </w:r>
            <w:r>
              <w:rPr>
                <w:rFonts w:hint="eastAsia" w:hAnsi="宋体"/>
                <w:szCs w:val="21"/>
              </w:rPr>
              <w:t>.</w:t>
            </w:r>
            <w:r>
              <w:rPr>
                <w:rFonts w:hint="eastAsia" w:hAnsi="宋体"/>
                <w:szCs w:val="21"/>
                <w:lang w:val="en-US" w:eastAsia="zh-CN"/>
              </w:rPr>
              <w:t>0</w:t>
            </w:r>
            <w:r>
              <w:rPr>
                <w:rFonts w:hint="eastAsia" w:hAnsi="宋体"/>
                <w:szCs w:val="21"/>
              </w:rPr>
              <w:t>1－</w:t>
            </w:r>
            <w:r>
              <w:rPr>
                <w:rFonts w:hint="eastAsia" w:hAnsi="宋体"/>
                <w:szCs w:val="21"/>
                <w:lang w:val="en-US" w:eastAsia="zh-CN"/>
              </w:rPr>
              <w:t>10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pPr>
              <w:pStyle w:val="7"/>
              <w:spacing w:line="160" w:lineRule="atLeast"/>
              <w:jc w:val="center"/>
              <w:rPr>
                <w:rFonts w:hAnsi="宋体"/>
                <w:szCs w:val="21"/>
              </w:rPr>
            </w:pPr>
          </w:p>
        </w:tc>
        <w:tc>
          <w:tcPr>
            <w:tcW w:w="741" w:type="dxa"/>
            <w:vMerge w:val="continue"/>
            <w:noWrap w:val="0"/>
            <w:vAlign w:val="center"/>
          </w:tcPr>
          <w:p>
            <w:pPr>
              <w:pStyle w:val="7"/>
              <w:spacing w:line="160" w:lineRule="atLeast"/>
              <w:jc w:val="center"/>
              <w:rPr>
                <w:rFonts w:hAnsi="宋体"/>
                <w:szCs w:val="21"/>
              </w:rPr>
            </w:pPr>
          </w:p>
        </w:tc>
        <w:tc>
          <w:tcPr>
            <w:tcW w:w="831" w:type="dxa"/>
            <w:vMerge w:val="continue"/>
            <w:noWrap w:val="0"/>
            <w:vAlign w:val="center"/>
          </w:tcPr>
          <w:p>
            <w:pPr>
              <w:pStyle w:val="7"/>
              <w:spacing w:line="160" w:lineRule="atLeast"/>
              <w:jc w:val="center"/>
              <w:rPr>
                <w:rFonts w:hAnsi="宋体"/>
                <w:szCs w:val="21"/>
              </w:rPr>
            </w:pPr>
          </w:p>
        </w:tc>
        <w:tc>
          <w:tcPr>
            <w:tcW w:w="1239" w:type="dxa"/>
            <w:vMerge w:val="continue"/>
            <w:noWrap w:val="0"/>
            <w:vAlign w:val="center"/>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851" w:type="dxa"/>
            <w:vMerge w:val="restart"/>
            <w:noWrap w:val="0"/>
            <w:vAlign w:val="center"/>
          </w:tcPr>
          <w:p>
            <w:pPr>
              <w:pStyle w:val="7"/>
              <w:spacing w:line="300" w:lineRule="exact"/>
              <w:jc w:val="center"/>
              <w:rPr>
                <w:rFonts w:hint="eastAsia" w:hAnsi="宋体"/>
                <w:szCs w:val="21"/>
              </w:rPr>
            </w:pPr>
            <w:r>
              <w:rPr>
                <w:rFonts w:hint="eastAsia" w:hAnsi="宋体"/>
                <w:szCs w:val="21"/>
              </w:rPr>
              <w:t>总体设计思路</w:t>
            </w:r>
          </w:p>
          <w:p>
            <w:pPr>
              <w:pStyle w:val="7"/>
              <w:spacing w:line="300" w:lineRule="exact"/>
              <w:jc w:val="center"/>
              <w:rPr>
                <w:rFonts w:hAnsi="宋体"/>
                <w:szCs w:val="21"/>
              </w:rPr>
            </w:pPr>
            <w:r>
              <w:rPr>
                <w:rFonts w:hint="eastAsia" w:hAnsi="宋体"/>
                <w:szCs w:val="21"/>
              </w:rPr>
              <w:t>（</w:t>
            </w:r>
            <w:r>
              <w:rPr>
                <w:rFonts w:hint="eastAsia" w:hAnsi="宋体"/>
                <w:szCs w:val="21"/>
                <w:lang w:val="en-US" w:eastAsia="zh-CN"/>
              </w:rPr>
              <w:t>10</w:t>
            </w:r>
            <w:r>
              <w:rPr>
                <w:rFonts w:hint="eastAsia" w:hAnsi="宋体"/>
                <w:szCs w:val="21"/>
              </w:rPr>
              <w:t>分）</w:t>
            </w:r>
          </w:p>
        </w:tc>
        <w:tc>
          <w:tcPr>
            <w:tcW w:w="4645" w:type="dxa"/>
            <w:noWrap w:val="0"/>
            <w:vAlign w:val="center"/>
          </w:tcPr>
          <w:p>
            <w:pPr>
              <w:pStyle w:val="7"/>
              <w:jc w:val="left"/>
              <w:rPr>
                <w:rFonts w:hAnsi="宋体"/>
                <w:szCs w:val="21"/>
              </w:rPr>
            </w:pPr>
            <w:r>
              <w:rPr>
                <w:rFonts w:hint="eastAsia" w:hAnsi="宋体"/>
                <w:szCs w:val="21"/>
              </w:rPr>
              <w:t>设计理念和思路与本项目工可的设计理念、思路基本吻合，得</w:t>
            </w:r>
            <w:r>
              <w:rPr>
                <w:rFonts w:hint="eastAsia" w:hAnsi="宋体"/>
                <w:szCs w:val="21"/>
                <w:lang w:val="en-US" w:eastAsia="zh-CN"/>
              </w:rPr>
              <w:t>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851" w:type="dxa"/>
            <w:vMerge w:val="continue"/>
            <w:noWrap w:val="0"/>
            <w:vAlign w:val="center"/>
          </w:tcPr>
          <w:p>
            <w:pPr>
              <w:pStyle w:val="7"/>
              <w:spacing w:line="300" w:lineRule="exact"/>
              <w:jc w:val="left"/>
              <w:rPr>
                <w:rFonts w:hAnsi="宋体"/>
                <w:szCs w:val="21"/>
              </w:rPr>
            </w:pPr>
          </w:p>
        </w:tc>
        <w:tc>
          <w:tcPr>
            <w:tcW w:w="4645" w:type="dxa"/>
            <w:noWrap w:val="0"/>
            <w:vAlign w:val="center"/>
          </w:tcPr>
          <w:p>
            <w:pPr>
              <w:pStyle w:val="7"/>
              <w:jc w:val="left"/>
              <w:rPr>
                <w:rFonts w:hAnsi="宋体"/>
                <w:szCs w:val="21"/>
              </w:rPr>
            </w:pPr>
            <w:r>
              <w:rPr>
                <w:rFonts w:hint="eastAsia" w:hAnsi="宋体"/>
                <w:szCs w:val="21"/>
              </w:rPr>
              <w:t>设计理念和思路与本项目工可的设计理念、思路吻合，在工可基础上采取了部分优化措施，得</w:t>
            </w:r>
            <w:r>
              <w:rPr>
                <w:rFonts w:hint="eastAsia" w:hAnsi="宋体"/>
                <w:szCs w:val="21"/>
                <w:lang w:val="en-US" w:eastAsia="zh-CN"/>
              </w:rPr>
              <w:t>6.01</w:t>
            </w:r>
            <w:r>
              <w:rPr>
                <w:rFonts w:hAnsi="宋体"/>
                <w:szCs w:val="21"/>
              </w:rPr>
              <w:t>-</w:t>
            </w:r>
            <w:r>
              <w:rPr>
                <w:rFonts w:hint="eastAsia" w:hAnsi="宋体"/>
                <w:szCs w:val="21"/>
                <w:lang w:val="en-US" w:eastAsia="zh-CN"/>
              </w:rPr>
              <w:t>8</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851" w:type="dxa"/>
            <w:vMerge w:val="continue"/>
            <w:noWrap w:val="0"/>
            <w:vAlign w:val="center"/>
          </w:tcPr>
          <w:p>
            <w:pPr>
              <w:pStyle w:val="7"/>
              <w:spacing w:line="300" w:lineRule="exact"/>
              <w:jc w:val="left"/>
              <w:rPr>
                <w:rFonts w:hAnsi="宋体"/>
                <w:szCs w:val="21"/>
              </w:rPr>
            </w:pPr>
          </w:p>
        </w:tc>
        <w:tc>
          <w:tcPr>
            <w:tcW w:w="4645" w:type="dxa"/>
            <w:noWrap w:val="0"/>
            <w:vAlign w:val="center"/>
          </w:tcPr>
          <w:p>
            <w:pPr>
              <w:pStyle w:val="7"/>
              <w:jc w:val="left"/>
              <w:rPr>
                <w:rFonts w:hAnsi="宋体"/>
                <w:szCs w:val="21"/>
              </w:rPr>
            </w:pPr>
            <w:r>
              <w:rPr>
                <w:rFonts w:hint="eastAsia" w:hAnsi="宋体"/>
                <w:szCs w:val="21"/>
              </w:rPr>
              <w:t>设计理念和思路与本项目工可中的设计理念、思路高度吻合，在工可基础上进行了充分的阐述和优化并适合本项目，得</w:t>
            </w:r>
            <w:r>
              <w:rPr>
                <w:rFonts w:hint="eastAsia" w:hAnsi="宋体"/>
                <w:szCs w:val="21"/>
                <w:lang w:val="en-US" w:eastAsia="zh-CN"/>
              </w:rPr>
              <w:t>8.01-10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center"/>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jc w:val="center"/>
              <w:rPr>
                <w:rFonts w:hint="eastAsia" w:hAnsi="宋体"/>
                <w:szCs w:val="21"/>
              </w:rPr>
            </w:pPr>
          </w:p>
        </w:tc>
        <w:tc>
          <w:tcPr>
            <w:tcW w:w="831" w:type="dxa"/>
            <w:vMerge w:val="continue"/>
            <w:noWrap w:val="0"/>
            <w:vAlign w:val="center"/>
          </w:tcPr>
          <w:p>
            <w:pPr>
              <w:pStyle w:val="7"/>
              <w:spacing w:line="160" w:lineRule="atLeast"/>
              <w:jc w:val="center"/>
              <w:rPr>
                <w:rFonts w:hAnsi="宋体"/>
                <w:szCs w:val="21"/>
              </w:rPr>
            </w:pPr>
          </w:p>
        </w:tc>
        <w:tc>
          <w:tcPr>
            <w:tcW w:w="1239" w:type="dxa"/>
            <w:vMerge w:val="restart"/>
            <w:noWrap w:val="0"/>
            <w:vAlign w:val="top"/>
          </w:tcPr>
          <w:p>
            <w:pPr>
              <w:pStyle w:val="7"/>
              <w:spacing w:line="160" w:lineRule="atLeast"/>
              <w:jc w:val="center"/>
              <w:rPr>
                <w:rFonts w:hint="eastAsia" w:hAnsi="宋体"/>
                <w:szCs w:val="21"/>
              </w:rPr>
            </w:pPr>
            <w:r>
              <w:rPr>
                <w:rFonts w:hint="eastAsia" w:hAnsi="宋体"/>
                <w:szCs w:val="21"/>
              </w:rPr>
              <w:t>招标项目</w:t>
            </w:r>
            <w:r>
              <w:rPr>
                <w:rFonts w:hint="eastAsia" w:hAnsi="宋体"/>
                <w:szCs w:val="21"/>
                <w:lang w:val="en-US" w:eastAsia="zh-CN"/>
              </w:rPr>
              <w:t>初步设计</w:t>
            </w:r>
            <w:r>
              <w:rPr>
                <w:rFonts w:hint="eastAsia" w:hAnsi="宋体"/>
                <w:szCs w:val="21"/>
              </w:rPr>
              <w:t>的特点、关键技术问题的认识及其对策措施</w:t>
            </w:r>
          </w:p>
        </w:tc>
        <w:tc>
          <w:tcPr>
            <w:tcW w:w="604"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2</w:t>
            </w:r>
            <w:r>
              <w:rPr>
                <w:rFonts w:hint="eastAsia" w:hAnsi="宋体"/>
                <w:szCs w:val="21"/>
              </w:rPr>
              <w:t>0分</w:t>
            </w:r>
          </w:p>
        </w:tc>
        <w:tc>
          <w:tcPr>
            <w:tcW w:w="5496" w:type="dxa"/>
            <w:gridSpan w:val="2"/>
            <w:noWrap w:val="0"/>
            <w:vAlign w:val="center"/>
          </w:tcPr>
          <w:p>
            <w:pPr>
              <w:pStyle w:val="7"/>
              <w:jc w:val="left"/>
              <w:rPr>
                <w:rFonts w:hAnsi="宋体"/>
                <w:szCs w:val="21"/>
              </w:rPr>
            </w:pPr>
            <w:r>
              <w:rPr>
                <w:rFonts w:hint="eastAsia" w:hAnsi="宋体"/>
                <w:szCs w:val="21"/>
              </w:rPr>
              <w:t>项目</w:t>
            </w:r>
            <w:r>
              <w:rPr>
                <w:rFonts w:hint="eastAsia" w:hAnsi="宋体"/>
                <w:szCs w:val="21"/>
                <w:lang w:val="en-US" w:eastAsia="zh-CN"/>
              </w:rPr>
              <w:t>初步设计</w:t>
            </w:r>
            <w:r>
              <w:rPr>
                <w:rFonts w:hint="eastAsia" w:hAnsi="宋体"/>
                <w:szCs w:val="21"/>
              </w:rPr>
              <w:t>的特点和关键技术问题的针对性一般，技术建议基本可行，得</w:t>
            </w:r>
            <w:r>
              <w:rPr>
                <w:rFonts w:hint="eastAsia" w:hAnsi="宋体"/>
                <w:szCs w:val="21"/>
                <w:lang w:val="en-US" w:eastAsia="zh-CN"/>
              </w:rPr>
              <w:t>12</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top"/>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pStyle w:val="7"/>
              <w:jc w:val="left"/>
              <w:rPr>
                <w:rFonts w:hAnsi="宋体"/>
                <w:szCs w:val="21"/>
              </w:rPr>
            </w:pPr>
            <w:r>
              <w:rPr>
                <w:rFonts w:hint="eastAsia" w:hAnsi="宋体"/>
                <w:szCs w:val="21"/>
              </w:rPr>
              <w:t>项目</w:t>
            </w:r>
            <w:r>
              <w:rPr>
                <w:rFonts w:hint="eastAsia" w:hAnsi="宋体"/>
                <w:szCs w:val="21"/>
                <w:lang w:val="en-US" w:eastAsia="zh-CN"/>
              </w:rPr>
              <w:t>初步设计</w:t>
            </w:r>
            <w:r>
              <w:rPr>
                <w:rFonts w:hint="eastAsia" w:hAnsi="宋体"/>
                <w:szCs w:val="21"/>
              </w:rPr>
              <w:t>的特点和关键技术问题针对性较强，技术建议可行，得</w:t>
            </w:r>
            <w:r>
              <w:rPr>
                <w:rFonts w:hint="eastAsia" w:hAnsi="宋体"/>
                <w:szCs w:val="21"/>
                <w:lang w:val="en-US" w:eastAsia="zh-CN"/>
              </w:rPr>
              <w:t>12.01-16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1" w:type="dxa"/>
            <w:vMerge w:val="continue"/>
            <w:noWrap w:val="0"/>
            <w:vAlign w:val="top"/>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pStyle w:val="7"/>
              <w:jc w:val="left"/>
              <w:rPr>
                <w:rFonts w:hAnsi="宋体"/>
                <w:szCs w:val="21"/>
              </w:rPr>
            </w:pPr>
            <w:r>
              <w:rPr>
                <w:rFonts w:hint="eastAsia" w:hAnsi="宋体"/>
                <w:szCs w:val="21"/>
              </w:rPr>
              <w:t>项目</w:t>
            </w:r>
            <w:r>
              <w:rPr>
                <w:rFonts w:hint="eastAsia" w:hAnsi="宋体"/>
                <w:szCs w:val="21"/>
                <w:lang w:val="en-US" w:eastAsia="zh-CN"/>
              </w:rPr>
              <w:t>初步设计</w:t>
            </w:r>
            <w:r>
              <w:rPr>
                <w:rFonts w:hint="eastAsia" w:hAnsi="宋体"/>
                <w:szCs w:val="21"/>
              </w:rPr>
              <w:t>的特点针对性强，关键技术问题对策明确、合理，技术建议科学、有效、可行，得</w:t>
            </w:r>
            <w:r>
              <w:rPr>
                <w:rFonts w:hint="eastAsia" w:hAnsi="宋体"/>
                <w:szCs w:val="21"/>
                <w:lang w:val="en-US" w:eastAsia="zh-CN"/>
              </w:rPr>
              <w:t>16.01-20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jc w:val="center"/>
              <w:rPr>
                <w:rFonts w:hint="eastAsia" w:hAnsi="宋体"/>
                <w:szCs w:val="21"/>
              </w:rPr>
            </w:pPr>
          </w:p>
        </w:tc>
        <w:tc>
          <w:tcPr>
            <w:tcW w:w="831" w:type="dxa"/>
            <w:vMerge w:val="continue"/>
            <w:noWrap w:val="0"/>
            <w:vAlign w:val="center"/>
          </w:tcPr>
          <w:p>
            <w:pPr>
              <w:pStyle w:val="7"/>
              <w:spacing w:line="160" w:lineRule="atLeast"/>
              <w:jc w:val="center"/>
              <w:rPr>
                <w:rFonts w:hAnsi="宋体"/>
                <w:szCs w:val="21"/>
              </w:rPr>
            </w:pPr>
          </w:p>
        </w:tc>
        <w:tc>
          <w:tcPr>
            <w:tcW w:w="1239" w:type="dxa"/>
            <w:vMerge w:val="restart"/>
            <w:noWrap w:val="0"/>
            <w:vAlign w:val="top"/>
          </w:tcPr>
          <w:p>
            <w:pPr>
              <w:pStyle w:val="7"/>
              <w:spacing w:line="160" w:lineRule="atLeast"/>
              <w:jc w:val="center"/>
              <w:rPr>
                <w:rFonts w:hint="eastAsia" w:hAnsi="宋体"/>
                <w:szCs w:val="21"/>
              </w:rPr>
            </w:pPr>
            <w:r>
              <w:rPr>
                <w:rFonts w:hint="eastAsia" w:hAnsi="宋体"/>
                <w:szCs w:val="21"/>
                <w:lang w:val="en-US" w:eastAsia="zh-CN"/>
              </w:rPr>
              <w:t>初步设计</w:t>
            </w:r>
            <w:r>
              <w:rPr>
                <w:rFonts w:hint="eastAsia" w:hAnsi="宋体"/>
                <w:szCs w:val="21"/>
              </w:rPr>
              <w:t>工作量及计划安排</w:t>
            </w:r>
          </w:p>
        </w:tc>
        <w:tc>
          <w:tcPr>
            <w:tcW w:w="604"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10</w:t>
            </w:r>
            <w:r>
              <w:rPr>
                <w:rFonts w:hint="eastAsia" w:hAnsi="宋体"/>
                <w:szCs w:val="21"/>
              </w:rPr>
              <w:t>分</w:t>
            </w:r>
          </w:p>
        </w:tc>
        <w:tc>
          <w:tcPr>
            <w:tcW w:w="5496" w:type="dxa"/>
            <w:gridSpan w:val="2"/>
            <w:noWrap w:val="0"/>
            <w:vAlign w:val="center"/>
          </w:tcPr>
          <w:p>
            <w:pPr>
              <w:pStyle w:val="7"/>
              <w:spacing w:line="300" w:lineRule="exact"/>
              <w:jc w:val="left"/>
              <w:rPr>
                <w:rFonts w:hAnsi="宋体"/>
                <w:szCs w:val="21"/>
              </w:rPr>
            </w:pPr>
            <w:r>
              <w:rPr>
                <w:rFonts w:hint="eastAsia" w:hAnsi="宋体"/>
                <w:szCs w:val="21"/>
              </w:rPr>
              <w:t>工作量及计划安排基本合理，得</w:t>
            </w:r>
            <w:r>
              <w:rPr>
                <w:rFonts w:hint="eastAsia" w:hAnsi="宋体"/>
                <w:szCs w:val="21"/>
                <w:lang w:val="en-US" w:eastAsia="zh-CN"/>
              </w:rPr>
              <w:t>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pStyle w:val="7"/>
              <w:spacing w:line="300" w:lineRule="exact"/>
              <w:jc w:val="left"/>
              <w:rPr>
                <w:rFonts w:hAnsi="宋体"/>
                <w:szCs w:val="21"/>
              </w:rPr>
            </w:pPr>
            <w:r>
              <w:rPr>
                <w:rFonts w:hint="eastAsia" w:hAnsi="宋体"/>
                <w:szCs w:val="21"/>
              </w:rPr>
              <w:t>工作量及计划安排合理，得</w:t>
            </w:r>
            <w:r>
              <w:rPr>
                <w:rFonts w:hint="eastAsia" w:hAnsi="宋体"/>
                <w:szCs w:val="21"/>
                <w:lang w:val="en-US" w:eastAsia="zh-CN"/>
              </w:rPr>
              <w:t>6.01-8</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pStyle w:val="7"/>
              <w:spacing w:line="300" w:lineRule="exact"/>
              <w:jc w:val="left"/>
              <w:rPr>
                <w:rFonts w:hAnsi="宋体"/>
                <w:szCs w:val="21"/>
              </w:rPr>
            </w:pPr>
            <w:r>
              <w:rPr>
                <w:rFonts w:hint="eastAsia" w:hAnsi="宋体"/>
                <w:szCs w:val="21"/>
              </w:rPr>
              <w:t>工作量及计划安排科学，安排周密，得</w:t>
            </w:r>
            <w:r>
              <w:rPr>
                <w:rFonts w:hint="eastAsia" w:hAnsi="宋体"/>
                <w:szCs w:val="21"/>
                <w:lang w:val="en-US" w:eastAsia="zh-CN"/>
              </w:rPr>
              <w:t>8.01-10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7"/>
              <w:spacing w:line="160" w:lineRule="atLeast"/>
              <w:jc w:val="center"/>
              <w:rPr>
                <w:rFonts w:hAnsi="宋体"/>
                <w:szCs w:val="21"/>
              </w:rPr>
            </w:pPr>
          </w:p>
        </w:tc>
        <w:tc>
          <w:tcPr>
            <w:tcW w:w="741" w:type="dxa"/>
            <w:vMerge w:val="continue"/>
            <w:noWrap w:val="0"/>
            <w:vAlign w:val="top"/>
          </w:tcPr>
          <w:p>
            <w:pPr>
              <w:pStyle w:val="7"/>
              <w:spacing w:line="160" w:lineRule="atLeast"/>
              <w:jc w:val="center"/>
              <w:rPr>
                <w:rFonts w:hint="eastAsia" w:hAnsi="宋体"/>
                <w:szCs w:val="21"/>
              </w:rPr>
            </w:pPr>
          </w:p>
        </w:tc>
        <w:tc>
          <w:tcPr>
            <w:tcW w:w="831" w:type="dxa"/>
            <w:vMerge w:val="continue"/>
            <w:noWrap w:val="0"/>
            <w:vAlign w:val="center"/>
          </w:tcPr>
          <w:p>
            <w:pPr>
              <w:pStyle w:val="7"/>
              <w:spacing w:line="160" w:lineRule="atLeast"/>
              <w:jc w:val="center"/>
              <w:rPr>
                <w:rFonts w:hAnsi="宋体"/>
                <w:szCs w:val="21"/>
              </w:rPr>
            </w:pPr>
          </w:p>
        </w:tc>
        <w:tc>
          <w:tcPr>
            <w:tcW w:w="1239" w:type="dxa"/>
            <w:vMerge w:val="restart"/>
            <w:noWrap w:val="0"/>
            <w:vAlign w:val="top"/>
          </w:tcPr>
          <w:p>
            <w:pPr>
              <w:pStyle w:val="7"/>
              <w:spacing w:line="160" w:lineRule="atLeast"/>
              <w:jc w:val="center"/>
              <w:rPr>
                <w:rFonts w:hint="eastAsia" w:hAnsi="宋体"/>
                <w:szCs w:val="21"/>
              </w:rPr>
            </w:pPr>
            <w:r>
              <w:rPr>
                <w:rFonts w:hint="eastAsia" w:hAnsi="宋体"/>
                <w:szCs w:val="21"/>
                <w:lang w:val="en-US" w:eastAsia="zh-CN"/>
              </w:rPr>
              <w:t>初步设计</w:t>
            </w:r>
            <w:r>
              <w:rPr>
                <w:rFonts w:hint="eastAsia" w:hAnsi="宋体"/>
                <w:szCs w:val="21"/>
              </w:rPr>
              <w:t>的质量保证措施、进度保证措施、安全保证措施</w:t>
            </w:r>
          </w:p>
        </w:tc>
        <w:tc>
          <w:tcPr>
            <w:tcW w:w="604"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20</w:t>
            </w:r>
            <w:r>
              <w:rPr>
                <w:rFonts w:hint="eastAsia" w:hAnsi="宋体"/>
                <w:szCs w:val="21"/>
              </w:rPr>
              <w:t>分</w:t>
            </w:r>
          </w:p>
        </w:tc>
        <w:tc>
          <w:tcPr>
            <w:tcW w:w="5496" w:type="dxa"/>
            <w:gridSpan w:val="2"/>
            <w:noWrap w:val="0"/>
            <w:vAlign w:val="center"/>
          </w:tcPr>
          <w:p>
            <w:pPr>
              <w:pStyle w:val="7"/>
              <w:spacing w:line="300" w:lineRule="exact"/>
              <w:jc w:val="left"/>
              <w:rPr>
                <w:rFonts w:hAnsi="宋体"/>
                <w:szCs w:val="21"/>
              </w:rPr>
            </w:pPr>
            <w:r>
              <w:rPr>
                <w:rFonts w:hint="eastAsia" w:hAnsi="宋体"/>
                <w:szCs w:val="21"/>
              </w:rPr>
              <w:t>质量、进度及安全保证措施不够具体，可实施性一般，得</w:t>
            </w:r>
            <w:r>
              <w:rPr>
                <w:rFonts w:hint="eastAsia" w:hAnsi="宋体"/>
                <w:szCs w:val="21"/>
                <w:lang w:val="en-US" w:eastAsia="zh-CN"/>
              </w:rPr>
              <w:t>12</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7"/>
              <w:spacing w:line="160" w:lineRule="atLeast"/>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pStyle w:val="7"/>
              <w:spacing w:line="300" w:lineRule="exact"/>
              <w:jc w:val="left"/>
              <w:rPr>
                <w:rFonts w:hAnsi="宋体"/>
                <w:szCs w:val="21"/>
              </w:rPr>
            </w:pPr>
            <w:r>
              <w:rPr>
                <w:rFonts w:hint="eastAsia" w:hAnsi="宋体"/>
                <w:szCs w:val="21"/>
              </w:rPr>
              <w:t>质量、进度及安全保证措施较具体，可实施性较强，得</w:t>
            </w:r>
            <w:r>
              <w:rPr>
                <w:rFonts w:hint="eastAsia" w:hAnsi="宋体"/>
                <w:szCs w:val="21"/>
                <w:lang w:val="en-US" w:eastAsia="zh-CN"/>
              </w:rPr>
              <w:t>12.01-16分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7"/>
              <w:spacing w:line="160" w:lineRule="atLeast"/>
              <w:rPr>
                <w:rFonts w:hAnsi="宋体"/>
                <w:szCs w:val="21"/>
              </w:rPr>
            </w:pPr>
          </w:p>
        </w:tc>
        <w:tc>
          <w:tcPr>
            <w:tcW w:w="741" w:type="dxa"/>
            <w:vMerge w:val="continue"/>
            <w:noWrap w:val="0"/>
            <w:vAlign w:val="top"/>
          </w:tcPr>
          <w:p>
            <w:pPr>
              <w:pStyle w:val="7"/>
              <w:spacing w:line="160" w:lineRule="atLeast"/>
              <w:rPr>
                <w:rFonts w:hAnsi="宋体"/>
                <w:szCs w:val="21"/>
              </w:rPr>
            </w:pPr>
          </w:p>
        </w:tc>
        <w:tc>
          <w:tcPr>
            <w:tcW w:w="831" w:type="dxa"/>
            <w:vMerge w:val="continue"/>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pStyle w:val="7"/>
              <w:spacing w:line="300" w:lineRule="exact"/>
              <w:jc w:val="left"/>
              <w:rPr>
                <w:rFonts w:hAnsi="宋体"/>
                <w:szCs w:val="21"/>
              </w:rPr>
            </w:pPr>
            <w:r>
              <w:rPr>
                <w:rFonts w:hint="eastAsia" w:hAnsi="宋体"/>
                <w:szCs w:val="21"/>
              </w:rPr>
              <w:t>质量、进度及安全保证措施具体可靠，可实施性强，适合本项目，得</w:t>
            </w:r>
            <w:r>
              <w:rPr>
                <w:rFonts w:hint="eastAsia" w:hAnsi="宋体"/>
                <w:szCs w:val="21"/>
                <w:lang w:val="en-US" w:eastAsia="zh-CN"/>
              </w:rPr>
              <w:t>16.01-20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restart"/>
            <w:tcBorders>
              <w:top w:val="nil"/>
            </w:tcBorders>
            <w:noWrap w:val="0"/>
            <w:vAlign w:val="center"/>
          </w:tcPr>
          <w:p>
            <w:pPr>
              <w:pStyle w:val="7"/>
              <w:spacing w:line="160" w:lineRule="atLeast"/>
              <w:jc w:val="center"/>
              <w:rPr>
                <w:rFonts w:hAnsi="宋体"/>
                <w:szCs w:val="21"/>
              </w:rPr>
            </w:pPr>
            <w:r>
              <w:rPr>
                <w:rFonts w:hint="eastAsia" w:hAnsi="宋体"/>
                <w:szCs w:val="21"/>
              </w:rPr>
              <w:t>2.2.4（1）</w:t>
            </w:r>
          </w:p>
        </w:tc>
        <w:tc>
          <w:tcPr>
            <w:tcW w:w="741" w:type="dxa"/>
            <w:vMerge w:val="restart"/>
            <w:tcBorders>
              <w:top w:val="nil"/>
            </w:tcBorders>
            <w:noWrap w:val="0"/>
            <w:vAlign w:val="center"/>
          </w:tcPr>
          <w:p>
            <w:pPr>
              <w:pStyle w:val="7"/>
              <w:spacing w:line="160" w:lineRule="atLeast"/>
              <w:jc w:val="center"/>
              <w:rPr>
                <w:rFonts w:hint="eastAsia" w:hAnsi="宋体"/>
                <w:szCs w:val="21"/>
              </w:rPr>
            </w:pPr>
            <w:r>
              <w:rPr>
                <w:rFonts w:hint="eastAsia" w:hAnsi="宋体"/>
                <w:szCs w:val="21"/>
              </w:rPr>
              <w:t>技术建议书</w:t>
            </w:r>
          </w:p>
        </w:tc>
        <w:tc>
          <w:tcPr>
            <w:tcW w:w="831" w:type="dxa"/>
            <w:vMerge w:val="restart"/>
            <w:tcBorders>
              <w:top w:val="nil"/>
            </w:tcBorders>
            <w:noWrap w:val="0"/>
            <w:vAlign w:val="center"/>
          </w:tcPr>
          <w:p>
            <w:pPr>
              <w:pStyle w:val="7"/>
              <w:spacing w:line="160" w:lineRule="atLeast"/>
              <w:jc w:val="center"/>
              <w:rPr>
                <w:rFonts w:hAnsi="宋体"/>
                <w:szCs w:val="21"/>
              </w:rPr>
            </w:pPr>
            <w:r>
              <w:rPr>
                <w:rFonts w:hint="eastAsia" w:hAnsi="宋体"/>
                <w:szCs w:val="21"/>
                <w:lang w:val="en-US" w:eastAsia="zh-CN"/>
              </w:rPr>
              <w:t>100</w:t>
            </w:r>
            <w:r>
              <w:rPr>
                <w:rFonts w:hint="eastAsia" w:hAnsi="宋体"/>
                <w:szCs w:val="21"/>
              </w:rPr>
              <w:t>分</w:t>
            </w:r>
          </w:p>
        </w:tc>
        <w:tc>
          <w:tcPr>
            <w:tcW w:w="1239" w:type="dxa"/>
            <w:vMerge w:val="restart"/>
            <w:noWrap w:val="0"/>
            <w:vAlign w:val="center"/>
          </w:tcPr>
          <w:p>
            <w:pPr>
              <w:pStyle w:val="7"/>
              <w:spacing w:line="160" w:lineRule="atLeast"/>
              <w:jc w:val="center"/>
              <w:rPr>
                <w:rFonts w:hint="eastAsia" w:hAnsi="宋体"/>
                <w:szCs w:val="21"/>
              </w:rPr>
            </w:pPr>
            <w:r>
              <w:rPr>
                <w:rFonts w:hint="eastAsia" w:hAnsi="宋体"/>
                <w:szCs w:val="21"/>
              </w:rPr>
              <w:t>后续服务的安排及保证措施</w:t>
            </w:r>
          </w:p>
        </w:tc>
        <w:tc>
          <w:tcPr>
            <w:tcW w:w="604"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15</w:t>
            </w:r>
            <w:r>
              <w:rPr>
                <w:rFonts w:hint="eastAsia" w:hAnsi="宋体"/>
                <w:szCs w:val="21"/>
              </w:rPr>
              <w:t>分</w:t>
            </w:r>
          </w:p>
        </w:tc>
        <w:tc>
          <w:tcPr>
            <w:tcW w:w="5496" w:type="dxa"/>
            <w:gridSpan w:val="2"/>
            <w:noWrap w:val="0"/>
            <w:vAlign w:val="center"/>
          </w:tcPr>
          <w:p>
            <w:pPr>
              <w:jc w:val="left"/>
              <w:rPr>
                <w:rFonts w:ascii="宋体" w:hAnsi="宋体"/>
                <w:kern w:val="2"/>
                <w:sz w:val="21"/>
                <w:szCs w:val="21"/>
              </w:rPr>
            </w:pPr>
            <w:r>
              <w:rPr>
                <w:rFonts w:hint="eastAsia" w:ascii="宋体" w:hAnsi="宋体"/>
                <w:kern w:val="2"/>
                <w:sz w:val="21"/>
                <w:szCs w:val="21"/>
              </w:rPr>
              <w:t>投标人对于后续服务的承诺及保证措施安排一般，得</w:t>
            </w:r>
            <w:r>
              <w:rPr>
                <w:rFonts w:hint="eastAsia" w:ascii="宋体" w:hAnsi="宋体"/>
                <w:kern w:val="2"/>
                <w:sz w:val="21"/>
                <w:szCs w:val="21"/>
                <w:lang w:val="en-US" w:eastAsia="zh-CN"/>
              </w:rPr>
              <w:t>9</w:t>
            </w: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top w:val="nil"/>
            </w:tcBorders>
            <w:noWrap w:val="0"/>
            <w:vAlign w:val="top"/>
          </w:tcPr>
          <w:p>
            <w:pPr>
              <w:pStyle w:val="7"/>
              <w:spacing w:line="160" w:lineRule="atLeast"/>
              <w:jc w:val="center"/>
              <w:rPr>
                <w:rFonts w:hAnsi="宋体"/>
                <w:szCs w:val="21"/>
              </w:rPr>
            </w:pPr>
          </w:p>
        </w:tc>
        <w:tc>
          <w:tcPr>
            <w:tcW w:w="741" w:type="dxa"/>
            <w:vMerge w:val="continue"/>
            <w:tcBorders>
              <w:top w:val="nil"/>
            </w:tcBorders>
            <w:noWrap w:val="0"/>
            <w:vAlign w:val="top"/>
          </w:tcPr>
          <w:p>
            <w:pPr>
              <w:pStyle w:val="7"/>
              <w:spacing w:line="160" w:lineRule="atLeast"/>
              <w:rPr>
                <w:rFonts w:hAnsi="宋体"/>
                <w:szCs w:val="21"/>
              </w:rPr>
            </w:pPr>
          </w:p>
        </w:tc>
        <w:tc>
          <w:tcPr>
            <w:tcW w:w="831" w:type="dxa"/>
            <w:vMerge w:val="continue"/>
            <w:tcBorders>
              <w:top w:val="nil"/>
            </w:tcBorders>
            <w:noWrap w:val="0"/>
            <w:vAlign w:val="top"/>
          </w:tcPr>
          <w:p>
            <w:pPr>
              <w:pStyle w:val="7"/>
              <w:spacing w:line="160" w:lineRule="atLeast"/>
              <w:rPr>
                <w:rFonts w:hAnsi="宋体"/>
                <w:szCs w:val="21"/>
              </w:rPr>
            </w:pPr>
          </w:p>
        </w:tc>
        <w:tc>
          <w:tcPr>
            <w:tcW w:w="1239" w:type="dxa"/>
            <w:vMerge w:val="continue"/>
            <w:noWrap w:val="0"/>
            <w:vAlign w:val="center"/>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noWrap w:val="0"/>
            <w:vAlign w:val="center"/>
          </w:tcPr>
          <w:p>
            <w:pPr>
              <w:jc w:val="left"/>
              <w:rPr>
                <w:rFonts w:ascii="宋体" w:hAnsi="宋体"/>
                <w:kern w:val="2"/>
                <w:sz w:val="21"/>
                <w:szCs w:val="21"/>
              </w:rPr>
            </w:pPr>
            <w:r>
              <w:rPr>
                <w:rFonts w:hint="eastAsia" w:ascii="宋体" w:hAnsi="宋体"/>
                <w:kern w:val="2"/>
                <w:sz w:val="21"/>
                <w:szCs w:val="21"/>
              </w:rPr>
              <w:t>投标人对于后续服务的承诺及保证措施安排较完善，得</w:t>
            </w:r>
            <w:r>
              <w:rPr>
                <w:rFonts w:hint="eastAsia" w:ascii="宋体" w:hAnsi="宋体"/>
                <w:kern w:val="2"/>
                <w:sz w:val="21"/>
                <w:szCs w:val="21"/>
                <w:lang w:val="en-US" w:eastAsia="zh-CN"/>
              </w:rPr>
              <w:t>9.01-12</w:t>
            </w: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top w:val="nil"/>
            </w:tcBorders>
            <w:noWrap w:val="0"/>
            <w:vAlign w:val="top"/>
          </w:tcPr>
          <w:p>
            <w:pPr>
              <w:pStyle w:val="7"/>
              <w:spacing w:line="160" w:lineRule="atLeast"/>
              <w:jc w:val="center"/>
              <w:rPr>
                <w:rFonts w:hAnsi="宋体"/>
                <w:szCs w:val="21"/>
              </w:rPr>
            </w:pPr>
          </w:p>
        </w:tc>
        <w:tc>
          <w:tcPr>
            <w:tcW w:w="741" w:type="dxa"/>
            <w:vMerge w:val="continue"/>
            <w:tcBorders>
              <w:top w:val="nil"/>
            </w:tcBorders>
            <w:noWrap w:val="0"/>
            <w:vAlign w:val="top"/>
          </w:tcPr>
          <w:p>
            <w:pPr>
              <w:pStyle w:val="7"/>
              <w:spacing w:line="160" w:lineRule="atLeast"/>
              <w:rPr>
                <w:rFonts w:hAnsi="宋体"/>
                <w:szCs w:val="21"/>
              </w:rPr>
            </w:pPr>
          </w:p>
        </w:tc>
        <w:tc>
          <w:tcPr>
            <w:tcW w:w="831" w:type="dxa"/>
            <w:vMerge w:val="continue"/>
            <w:tcBorders>
              <w:top w:val="nil"/>
            </w:tcBorders>
            <w:noWrap w:val="0"/>
            <w:vAlign w:val="top"/>
          </w:tcPr>
          <w:p>
            <w:pPr>
              <w:pStyle w:val="7"/>
              <w:spacing w:line="160" w:lineRule="atLeast"/>
              <w:rPr>
                <w:rFonts w:hAnsi="宋体"/>
                <w:szCs w:val="21"/>
              </w:rPr>
            </w:pPr>
          </w:p>
        </w:tc>
        <w:tc>
          <w:tcPr>
            <w:tcW w:w="1239" w:type="dxa"/>
            <w:vMerge w:val="continue"/>
            <w:tcBorders>
              <w:bottom w:val="single" w:color="auto" w:sz="4" w:space="0"/>
            </w:tcBorders>
            <w:noWrap w:val="0"/>
            <w:vAlign w:val="center"/>
          </w:tcPr>
          <w:p>
            <w:pPr>
              <w:pStyle w:val="7"/>
              <w:spacing w:line="160" w:lineRule="atLeast"/>
              <w:jc w:val="center"/>
              <w:rPr>
                <w:rFonts w:hAnsi="宋体"/>
                <w:szCs w:val="21"/>
              </w:rPr>
            </w:pPr>
          </w:p>
        </w:tc>
        <w:tc>
          <w:tcPr>
            <w:tcW w:w="604" w:type="dxa"/>
            <w:vMerge w:val="continue"/>
            <w:tcBorders>
              <w:bottom w:val="single" w:color="auto" w:sz="4" w:space="0"/>
            </w:tcBorders>
            <w:noWrap w:val="0"/>
            <w:vAlign w:val="center"/>
          </w:tcPr>
          <w:p>
            <w:pPr>
              <w:pStyle w:val="7"/>
              <w:spacing w:line="160" w:lineRule="atLeast"/>
              <w:jc w:val="center"/>
              <w:rPr>
                <w:rFonts w:hAnsi="宋体"/>
                <w:szCs w:val="21"/>
              </w:rPr>
            </w:pPr>
          </w:p>
        </w:tc>
        <w:tc>
          <w:tcPr>
            <w:tcW w:w="5496" w:type="dxa"/>
            <w:gridSpan w:val="2"/>
            <w:tcBorders>
              <w:bottom w:val="single" w:color="auto" w:sz="4" w:space="0"/>
            </w:tcBorders>
            <w:noWrap w:val="0"/>
            <w:vAlign w:val="center"/>
          </w:tcPr>
          <w:p>
            <w:pPr>
              <w:jc w:val="left"/>
              <w:rPr>
                <w:rFonts w:ascii="宋体" w:hAnsi="宋体"/>
                <w:kern w:val="2"/>
                <w:sz w:val="21"/>
                <w:szCs w:val="21"/>
              </w:rPr>
            </w:pPr>
            <w:r>
              <w:rPr>
                <w:rFonts w:hint="eastAsia" w:ascii="宋体" w:hAnsi="宋体"/>
                <w:kern w:val="2"/>
                <w:sz w:val="21"/>
                <w:szCs w:val="21"/>
              </w:rPr>
              <w:t>投标人对于后续服务的承诺及保证措施安排完善合理，得</w:t>
            </w:r>
            <w:r>
              <w:rPr>
                <w:rFonts w:hint="eastAsia" w:ascii="宋体" w:hAnsi="宋体"/>
                <w:kern w:val="2"/>
                <w:sz w:val="21"/>
                <w:szCs w:val="21"/>
                <w:lang w:val="en-US" w:eastAsia="zh-CN"/>
              </w:rPr>
              <w:t>12.01-15</w:t>
            </w: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top w:val="nil"/>
            </w:tcBorders>
            <w:noWrap w:val="0"/>
            <w:vAlign w:val="center"/>
          </w:tcPr>
          <w:p>
            <w:pPr>
              <w:pStyle w:val="7"/>
              <w:spacing w:line="160" w:lineRule="atLeast"/>
              <w:jc w:val="center"/>
              <w:rPr>
                <w:rFonts w:hAnsi="宋体"/>
                <w:szCs w:val="21"/>
              </w:rPr>
            </w:pPr>
          </w:p>
        </w:tc>
        <w:tc>
          <w:tcPr>
            <w:tcW w:w="741" w:type="dxa"/>
            <w:vMerge w:val="continue"/>
            <w:tcBorders>
              <w:top w:val="nil"/>
            </w:tcBorders>
            <w:noWrap w:val="0"/>
            <w:vAlign w:val="top"/>
          </w:tcPr>
          <w:p>
            <w:pPr>
              <w:pStyle w:val="7"/>
              <w:spacing w:line="160" w:lineRule="atLeast"/>
              <w:jc w:val="center"/>
              <w:rPr>
                <w:rFonts w:hint="eastAsia" w:hAnsi="宋体" w:cs="宋?"/>
                <w:kern w:val="0"/>
                <w:szCs w:val="21"/>
              </w:rPr>
            </w:pPr>
          </w:p>
        </w:tc>
        <w:tc>
          <w:tcPr>
            <w:tcW w:w="831" w:type="dxa"/>
            <w:vMerge w:val="continue"/>
            <w:tcBorders>
              <w:top w:val="nil"/>
            </w:tcBorders>
            <w:noWrap w:val="0"/>
            <w:vAlign w:val="center"/>
          </w:tcPr>
          <w:p>
            <w:pPr>
              <w:pStyle w:val="7"/>
              <w:spacing w:line="160" w:lineRule="atLeast"/>
              <w:jc w:val="center"/>
              <w:rPr>
                <w:rFonts w:hAnsi="宋体"/>
                <w:szCs w:val="21"/>
              </w:rPr>
            </w:pPr>
          </w:p>
        </w:tc>
        <w:tc>
          <w:tcPr>
            <w:tcW w:w="1239" w:type="dxa"/>
            <w:vMerge w:val="restart"/>
            <w:noWrap w:val="0"/>
            <w:vAlign w:val="center"/>
          </w:tcPr>
          <w:p>
            <w:pPr>
              <w:pStyle w:val="7"/>
              <w:spacing w:line="160" w:lineRule="atLeast"/>
              <w:jc w:val="center"/>
              <w:rPr>
                <w:rFonts w:hint="eastAsia" w:hAnsi="宋体"/>
                <w:szCs w:val="21"/>
              </w:rPr>
            </w:pPr>
            <w:r>
              <w:rPr>
                <w:rFonts w:hint="eastAsia" w:hAnsi="宋体" w:cs="宋?"/>
                <w:kern w:val="0"/>
                <w:szCs w:val="21"/>
              </w:rPr>
              <w:t>优化方案及措施</w:t>
            </w:r>
          </w:p>
        </w:tc>
        <w:tc>
          <w:tcPr>
            <w:tcW w:w="604" w:type="dxa"/>
            <w:vMerge w:val="restart"/>
            <w:noWrap w:val="0"/>
            <w:vAlign w:val="center"/>
          </w:tcPr>
          <w:p>
            <w:pPr>
              <w:pStyle w:val="7"/>
              <w:spacing w:line="160" w:lineRule="atLeast"/>
              <w:jc w:val="center"/>
              <w:rPr>
                <w:rFonts w:hAnsi="宋体"/>
                <w:szCs w:val="21"/>
              </w:rPr>
            </w:pPr>
            <w:r>
              <w:rPr>
                <w:rFonts w:hint="eastAsia" w:hAnsi="宋体"/>
                <w:szCs w:val="21"/>
                <w:lang w:val="en-US" w:eastAsia="zh-CN"/>
              </w:rPr>
              <w:t>15</w:t>
            </w:r>
            <w:r>
              <w:rPr>
                <w:rFonts w:hint="eastAsia" w:hAnsi="宋体"/>
                <w:szCs w:val="21"/>
              </w:rPr>
              <w:t>分</w:t>
            </w:r>
          </w:p>
        </w:tc>
        <w:tc>
          <w:tcPr>
            <w:tcW w:w="5496" w:type="dxa"/>
            <w:gridSpan w:val="2"/>
            <w:tcBorders>
              <w:bottom w:val="single" w:color="auto" w:sz="4" w:space="0"/>
            </w:tcBorders>
            <w:noWrap w:val="0"/>
            <w:vAlign w:val="center"/>
          </w:tcPr>
          <w:p>
            <w:pPr>
              <w:jc w:val="left"/>
              <w:rPr>
                <w:rFonts w:hint="eastAsia" w:ascii="宋体" w:hAnsi="宋体"/>
                <w:kern w:val="2"/>
                <w:sz w:val="21"/>
                <w:szCs w:val="21"/>
              </w:rPr>
            </w:pPr>
            <w:r>
              <w:rPr>
                <w:rFonts w:hint="eastAsia" w:ascii="宋体" w:hAnsi="宋体"/>
                <w:kern w:val="2"/>
                <w:sz w:val="21"/>
                <w:szCs w:val="21"/>
              </w:rPr>
              <w:t>具有减少占用耕地方案及措施的，得</w:t>
            </w:r>
            <w:r>
              <w:rPr>
                <w:rFonts w:hint="eastAsia" w:ascii="宋体" w:hAnsi="宋体"/>
                <w:kern w:val="2"/>
                <w:sz w:val="21"/>
                <w:szCs w:val="21"/>
                <w:lang w:val="en-US" w:eastAsia="zh-CN"/>
              </w:rPr>
              <w:t>3-5</w:t>
            </w: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top w:val="nil"/>
            </w:tcBorders>
            <w:noWrap w:val="0"/>
            <w:vAlign w:val="top"/>
          </w:tcPr>
          <w:p>
            <w:pPr>
              <w:pStyle w:val="7"/>
              <w:spacing w:line="160" w:lineRule="atLeast"/>
              <w:rPr>
                <w:rFonts w:hAnsi="宋体"/>
                <w:szCs w:val="21"/>
              </w:rPr>
            </w:pPr>
          </w:p>
        </w:tc>
        <w:tc>
          <w:tcPr>
            <w:tcW w:w="741" w:type="dxa"/>
            <w:vMerge w:val="continue"/>
            <w:tcBorders>
              <w:top w:val="nil"/>
            </w:tcBorders>
            <w:noWrap w:val="0"/>
            <w:vAlign w:val="top"/>
          </w:tcPr>
          <w:p>
            <w:pPr>
              <w:pStyle w:val="7"/>
              <w:spacing w:line="160" w:lineRule="atLeast"/>
              <w:rPr>
                <w:rFonts w:hAnsi="宋体"/>
                <w:szCs w:val="21"/>
              </w:rPr>
            </w:pPr>
          </w:p>
        </w:tc>
        <w:tc>
          <w:tcPr>
            <w:tcW w:w="831" w:type="dxa"/>
            <w:vMerge w:val="continue"/>
            <w:tcBorders>
              <w:top w:val="nil"/>
            </w:tcBorders>
            <w:noWrap w:val="0"/>
            <w:vAlign w:val="top"/>
          </w:tcPr>
          <w:p>
            <w:pPr>
              <w:pStyle w:val="7"/>
              <w:spacing w:line="160" w:lineRule="atLeast"/>
              <w:rPr>
                <w:rFonts w:hAnsi="宋体"/>
                <w:szCs w:val="21"/>
              </w:rPr>
            </w:pPr>
          </w:p>
        </w:tc>
        <w:tc>
          <w:tcPr>
            <w:tcW w:w="1239" w:type="dxa"/>
            <w:vMerge w:val="continue"/>
            <w:noWrap w:val="0"/>
            <w:vAlign w:val="top"/>
          </w:tcPr>
          <w:p>
            <w:pPr>
              <w:pStyle w:val="7"/>
              <w:spacing w:line="160" w:lineRule="atLeast"/>
              <w:jc w:val="center"/>
              <w:rPr>
                <w:rFonts w:hAnsi="宋体"/>
                <w:szCs w:val="21"/>
              </w:rPr>
            </w:pPr>
          </w:p>
        </w:tc>
        <w:tc>
          <w:tcPr>
            <w:tcW w:w="604" w:type="dxa"/>
            <w:vMerge w:val="continue"/>
            <w:noWrap w:val="0"/>
            <w:vAlign w:val="center"/>
          </w:tcPr>
          <w:p>
            <w:pPr>
              <w:pStyle w:val="7"/>
              <w:spacing w:line="160" w:lineRule="atLeast"/>
              <w:jc w:val="center"/>
              <w:rPr>
                <w:rFonts w:hAnsi="宋体"/>
                <w:szCs w:val="21"/>
              </w:rPr>
            </w:pPr>
          </w:p>
        </w:tc>
        <w:tc>
          <w:tcPr>
            <w:tcW w:w="5496" w:type="dxa"/>
            <w:gridSpan w:val="2"/>
            <w:tcBorders>
              <w:bottom w:val="single" w:color="auto" w:sz="4" w:space="0"/>
            </w:tcBorders>
            <w:noWrap w:val="0"/>
            <w:vAlign w:val="center"/>
          </w:tcPr>
          <w:p>
            <w:pPr>
              <w:jc w:val="left"/>
              <w:rPr>
                <w:rFonts w:hint="eastAsia" w:ascii="宋体" w:hAnsi="宋体"/>
                <w:kern w:val="2"/>
                <w:sz w:val="21"/>
                <w:szCs w:val="21"/>
              </w:rPr>
            </w:pPr>
            <w:r>
              <w:rPr>
                <w:rFonts w:hint="eastAsia" w:ascii="宋体" w:hAnsi="宋体"/>
                <w:kern w:val="2"/>
                <w:sz w:val="21"/>
                <w:szCs w:val="21"/>
              </w:rPr>
              <w:t>具有降低工程造价的合理技术方案及具体措施的，得</w:t>
            </w:r>
            <w:r>
              <w:rPr>
                <w:rFonts w:hint="eastAsia" w:ascii="宋体" w:hAnsi="宋体"/>
                <w:kern w:val="2"/>
                <w:sz w:val="21"/>
                <w:szCs w:val="21"/>
                <w:lang w:val="en-US" w:eastAsia="zh-CN"/>
              </w:rPr>
              <w:t>3-5</w:t>
            </w: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Borders>
              <w:top w:val="nil"/>
            </w:tcBorders>
            <w:noWrap w:val="0"/>
            <w:vAlign w:val="top"/>
          </w:tcPr>
          <w:p>
            <w:pPr>
              <w:pStyle w:val="7"/>
              <w:spacing w:line="160" w:lineRule="atLeast"/>
              <w:rPr>
                <w:rFonts w:hAnsi="宋体"/>
                <w:szCs w:val="21"/>
              </w:rPr>
            </w:pPr>
          </w:p>
        </w:tc>
        <w:tc>
          <w:tcPr>
            <w:tcW w:w="741" w:type="dxa"/>
            <w:vMerge w:val="continue"/>
            <w:tcBorders>
              <w:top w:val="nil"/>
            </w:tcBorders>
            <w:noWrap w:val="0"/>
            <w:vAlign w:val="top"/>
          </w:tcPr>
          <w:p>
            <w:pPr>
              <w:pStyle w:val="7"/>
              <w:spacing w:line="160" w:lineRule="atLeast"/>
              <w:rPr>
                <w:rFonts w:hAnsi="宋体"/>
                <w:szCs w:val="21"/>
              </w:rPr>
            </w:pPr>
          </w:p>
        </w:tc>
        <w:tc>
          <w:tcPr>
            <w:tcW w:w="831" w:type="dxa"/>
            <w:vMerge w:val="continue"/>
            <w:tcBorders>
              <w:top w:val="nil"/>
              <w:bottom w:val="single" w:color="auto" w:sz="4" w:space="0"/>
            </w:tcBorders>
            <w:noWrap w:val="0"/>
            <w:vAlign w:val="top"/>
          </w:tcPr>
          <w:p>
            <w:pPr>
              <w:pStyle w:val="7"/>
              <w:spacing w:line="160" w:lineRule="atLeast"/>
              <w:rPr>
                <w:rFonts w:hAnsi="宋体"/>
                <w:szCs w:val="21"/>
              </w:rPr>
            </w:pPr>
          </w:p>
        </w:tc>
        <w:tc>
          <w:tcPr>
            <w:tcW w:w="1239" w:type="dxa"/>
            <w:vMerge w:val="continue"/>
            <w:tcBorders>
              <w:bottom w:val="single" w:color="auto" w:sz="4" w:space="0"/>
            </w:tcBorders>
            <w:noWrap w:val="0"/>
            <w:vAlign w:val="top"/>
          </w:tcPr>
          <w:p>
            <w:pPr>
              <w:pStyle w:val="7"/>
              <w:spacing w:line="160" w:lineRule="atLeast"/>
              <w:jc w:val="center"/>
              <w:rPr>
                <w:rFonts w:hAnsi="宋体"/>
                <w:szCs w:val="21"/>
              </w:rPr>
            </w:pPr>
          </w:p>
        </w:tc>
        <w:tc>
          <w:tcPr>
            <w:tcW w:w="604" w:type="dxa"/>
            <w:vMerge w:val="continue"/>
            <w:tcBorders>
              <w:bottom w:val="single" w:color="auto" w:sz="4" w:space="0"/>
            </w:tcBorders>
            <w:noWrap w:val="0"/>
            <w:vAlign w:val="center"/>
          </w:tcPr>
          <w:p>
            <w:pPr>
              <w:pStyle w:val="7"/>
              <w:spacing w:line="160" w:lineRule="atLeast"/>
              <w:jc w:val="center"/>
              <w:rPr>
                <w:rFonts w:hAnsi="宋体"/>
                <w:szCs w:val="21"/>
              </w:rPr>
            </w:pPr>
          </w:p>
        </w:tc>
        <w:tc>
          <w:tcPr>
            <w:tcW w:w="5496" w:type="dxa"/>
            <w:gridSpan w:val="2"/>
            <w:tcBorders>
              <w:bottom w:val="single" w:color="auto" w:sz="4" w:space="0"/>
            </w:tcBorders>
            <w:noWrap w:val="0"/>
            <w:vAlign w:val="center"/>
          </w:tcPr>
          <w:p>
            <w:pPr>
              <w:jc w:val="left"/>
              <w:rPr>
                <w:rFonts w:hint="eastAsia" w:ascii="宋体" w:hAnsi="宋体"/>
                <w:kern w:val="2"/>
                <w:sz w:val="21"/>
                <w:szCs w:val="21"/>
              </w:rPr>
            </w:pPr>
            <w:r>
              <w:rPr>
                <w:rFonts w:hint="eastAsia" w:ascii="宋体" w:hAnsi="宋体"/>
                <w:kern w:val="2"/>
                <w:sz w:val="21"/>
                <w:szCs w:val="21"/>
              </w:rPr>
              <w:t>具有成熟的新技术、新工艺、新材料的建议方案的，得</w:t>
            </w:r>
            <w:r>
              <w:rPr>
                <w:rFonts w:hint="eastAsia" w:ascii="宋体" w:hAnsi="宋体"/>
                <w:kern w:val="2"/>
                <w:sz w:val="21"/>
                <w:szCs w:val="21"/>
                <w:lang w:val="en-US" w:eastAsia="zh-CN"/>
              </w:rPr>
              <w:t>3-5</w:t>
            </w:r>
            <w:r>
              <w:rPr>
                <w:rFonts w:hint="eastAsia" w:ascii="宋体" w:hAnsi="宋体"/>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noWrap w:val="0"/>
            <w:vAlign w:val="center"/>
          </w:tcPr>
          <w:p>
            <w:pPr>
              <w:pStyle w:val="7"/>
              <w:spacing w:line="160" w:lineRule="atLeast"/>
              <w:jc w:val="center"/>
              <w:rPr>
                <w:rFonts w:hAnsi="宋体"/>
                <w:szCs w:val="21"/>
              </w:rPr>
            </w:pPr>
            <w:r>
              <w:rPr>
                <w:rFonts w:hint="eastAsia" w:hAnsi="宋体"/>
                <w:szCs w:val="21"/>
              </w:rPr>
              <w:t>2.2.4（2）</w:t>
            </w:r>
          </w:p>
        </w:tc>
        <w:tc>
          <w:tcPr>
            <w:tcW w:w="741" w:type="dxa"/>
            <w:tcBorders>
              <w:top w:val="nil"/>
            </w:tcBorders>
            <w:noWrap w:val="0"/>
            <w:vAlign w:val="center"/>
          </w:tcPr>
          <w:p>
            <w:pPr>
              <w:pStyle w:val="7"/>
              <w:spacing w:line="160" w:lineRule="atLeast"/>
              <w:jc w:val="center"/>
              <w:rPr>
                <w:rFonts w:hint="eastAsia" w:hAnsi="宋体"/>
                <w:szCs w:val="21"/>
              </w:rPr>
            </w:pPr>
            <w:r>
              <w:rPr>
                <w:rFonts w:hint="eastAsia" w:hAnsi="宋体"/>
                <w:szCs w:val="21"/>
              </w:rPr>
              <w:t>主要人员</w:t>
            </w:r>
          </w:p>
        </w:tc>
        <w:tc>
          <w:tcPr>
            <w:tcW w:w="831" w:type="dxa"/>
            <w:tcBorders>
              <w:top w:val="nil"/>
              <w:bottom w:val="single" w:color="auto" w:sz="4" w:space="0"/>
            </w:tcBorders>
            <w:noWrap w:val="0"/>
            <w:vAlign w:val="center"/>
          </w:tcPr>
          <w:p>
            <w:pPr>
              <w:pStyle w:val="7"/>
              <w:spacing w:line="160" w:lineRule="atLeast"/>
              <w:jc w:val="center"/>
              <w:rPr>
                <w:rFonts w:hAnsi="宋体"/>
                <w:szCs w:val="21"/>
              </w:rPr>
            </w:pPr>
            <w:r>
              <w:rPr>
                <w:rFonts w:hint="eastAsia" w:hAnsi="宋体"/>
                <w:szCs w:val="21"/>
                <w:lang w:val="en-US" w:eastAsia="zh-CN"/>
              </w:rPr>
              <w:t>100</w:t>
            </w:r>
            <w:r>
              <w:rPr>
                <w:rFonts w:hint="eastAsia" w:hAnsi="宋体"/>
                <w:szCs w:val="21"/>
              </w:rPr>
              <w:t>分</w:t>
            </w:r>
          </w:p>
        </w:tc>
        <w:tc>
          <w:tcPr>
            <w:tcW w:w="1239" w:type="dxa"/>
            <w:tcBorders>
              <w:bottom w:val="single" w:color="auto" w:sz="4" w:space="0"/>
            </w:tcBorders>
            <w:noWrap w:val="0"/>
            <w:vAlign w:val="center"/>
          </w:tcPr>
          <w:p>
            <w:pPr>
              <w:pStyle w:val="7"/>
              <w:spacing w:line="160" w:lineRule="atLeast"/>
              <w:jc w:val="center"/>
              <w:rPr>
                <w:rFonts w:hAnsi="宋体"/>
                <w:szCs w:val="21"/>
              </w:rPr>
            </w:pPr>
            <w:r>
              <w:rPr>
                <w:rFonts w:hint="eastAsia" w:ascii="Times New Roman" w:hAnsi="Times New Roman" w:eastAsia="宋体" w:cs="Times New Roman"/>
                <w:kern w:val="2"/>
                <w:sz w:val="21"/>
                <w:szCs w:val="21"/>
                <w:lang w:val="en-US" w:eastAsia="zh-CN" w:bidi="ar-SA"/>
              </w:rPr>
              <w:t>项目负责人任职资格与业绩</w:t>
            </w:r>
          </w:p>
        </w:tc>
        <w:tc>
          <w:tcPr>
            <w:tcW w:w="604" w:type="dxa"/>
            <w:tcBorders>
              <w:bottom w:val="single" w:color="auto" w:sz="4" w:space="0"/>
            </w:tcBorders>
            <w:noWrap w:val="0"/>
            <w:vAlign w:val="center"/>
          </w:tcPr>
          <w:p>
            <w:pPr>
              <w:pStyle w:val="7"/>
              <w:spacing w:line="160" w:lineRule="atLeast"/>
              <w:jc w:val="center"/>
              <w:rPr>
                <w:rFonts w:hAnsi="宋体"/>
                <w:szCs w:val="21"/>
              </w:rPr>
            </w:pPr>
            <w:r>
              <w:rPr>
                <w:rFonts w:hint="eastAsia" w:hAnsi="宋体"/>
                <w:szCs w:val="21"/>
                <w:lang w:val="en-US" w:eastAsia="zh-CN"/>
              </w:rPr>
              <w:t>100</w:t>
            </w:r>
            <w:r>
              <w:rPr>
                <w:rFonts w:hint="eastAsia" w:hAnsi="宋体"/>
                <w:szCs w:val="21"/>
              </w:rPr>
              <w:t>分</w:t>
            </w:r>
          </w:p>
        </w:tc>
        <w:tc>
          <w:tcPr>
            <w:tcW w:w="5496" w:type="dxa"/>
            <w:gridSpan w:val="2"/>
            <w:tcBorders>
              <w:bottom w:val="single" w:color="auto" w:sz="4" w:space="0"/>
            </w:tcBorders>
            <w:noWrap w:val="0"/>
            <w:vAlign w:val="center"/>
          </w:tcPr>
          <w:p>
            <w:pPr>
              <w:jc w:val="left"/>
              <w:rPr>
                <w:rFonts w:hint="eastAsia" w:ascii="宋体" w:hAnsi="宋体"/>
                <w:b/>
                <w:kern w:val="2"/>
                <w:sz w:val="21"/>
                <w:szCs w:val="21"/>
                <w:highlight w:val="none"/>
              </w:rPr>
            </w:pPr>
            <w:r>
              <w:rPr>
                <w:rFonts w:hint="eastAsia" w:ascii="宋体" w:hAnsi="宋体"/>
                <w:b/>
                <w:kern w:val="2"/>
                <w:sz w:val="21"/>
                <w:szCs w:val="21"/>
                <w:highlight w:val="none"/>
              </w:rPr>
              <w:t>满足资格审查条件要求得</w:t>
            </w:r>
            <w:r>
              <w:rPr>
                <w:rFonts w:hint="eastAsia" w:ascii="宋体" w:hAnsi="宋体"/>
                <w:b/>
                <w:kern w:val="2"/>
                <w:sz w:val="21"/>
                <w:szCs w:val="21"/>
                <w:highlight w:val="none"/>
                <w:lang w:val="en-US" w:eastAsia="zh-CN"/>
              </w:rPr>
              <w:t>60</w:t>
            </w:r>
            <w:r>
              <w:rPr>
                <w:rFonts w:hint="eastAsia" w:ascii="宋体" w:hAnsi="宋体"/>
                <w:b/>
                <w:kern w:val="2"/>
                <w:sz w:val="21"/>
                <w:szCs w:val="21"/>
                <w:highlight w:val="none"/>
              </w:rPr>
              <w:t>分；</w:t>
            </w:r>
          </w:p>
          <w:p>
            <w:pPr>
              <w:jc w:val="left"/>
              <w:rPr>
                <w:rFonts w:hint="eastAsia" w:ascii="宋体" w:hAnsi="宋体"/>
                <w:kern w:val="2"/>
                <w:sz w:val="21"/>
                <w:szCs w:val="21"/>
                <w:highlight w:val="none"/>
              </w:rPr>
            </w:pPr>
            <w:r>
              <w:rPr>
                <w:rFonts w:hint="eastAsia"/>
                <w:kern w:val="2"/>
                <w:sz w:val="21"/>
                <w:szCs w:val="21"/>
                <w:highlight w:val="none"/>
              </w:rPr>
              <w:t>满足资格审查的基础上，</w:t>
            </w:r>
            <w:r>
              <w:rPr>
                <w:rFonts w:hint="eastAsia" w:ascii="宋体" w:hAnsi="宋体"/>
                <w:kern w:val="2"/>
                <w:sz w:val="21"/>
                <w:szCs w:val="21"/>
                <w:highlight w:val="none"/>
              </w:rPr>
              <w:t>每增加1</w:t>
            </w:r>
            <w:r>
              <w:rPr>
                <w:rFonts w:hint="eastAsia" w:ascii="宋体" w:hAnsi="宋体"/>
                <w:kern w:val="2"/>
                <w:sz w:val="21"/>
                <w:szCs w:val="21"/>
                <w:highlight w:val="none"/>
                <w:lang w:val="en-US" w:eastAsia="zh-CN"/>
              </w:rPr>
              <w:t>项</w:t>
            </w:r>
            <w:r>
              <w:rPr>
                <w:rFonts w:hint="eastAsia" w:ascii="宋体" w:hAnsi="宋体"/>
                <w:kern w:val="2"/>
                <w:sz w:val="21"/>
                <w:szCs w:val="21"/>
                <w:highlight w:val="none"/>
              </w:rPr>
              <w:t>满足资格审查条件要求的业绩加</w:t>
            </w:r>
            <w:r>
              <w:rPr>
                <w:rFonts w:hint="eastAsia" w:ascii="宋体" w:hAnsi="宋体"/>
                <w:kern w:val="2"/>
                <w:sz w:val="21"/>
                <w:szCs w:val="21"/>
                <w:highlight w:val="none"/>
                <w:lang w:val="en-US" w:eastAsia="zh-CN"/>
              </w:rPr>
              <w:t>20</w:t>
            </w:r>
            <w:r>
              <w:rPr>
                <w:rFonts w:hint="eastAsia" w:ascii="宋体" w:hAnsi="宋体"/>
                <w:kern w:val="2"/>
                <w:sz w:val="21"/>
                <w:szCs w:val="21"/>
                <w:highlight w:val="none"/>
              </w:rPr>
              <w:t>分，最多加</w:t>
            </w:r>
            <w:r>
              <w:rPr>
                <w:rFonts w:hint="eastAsia" w:ascii="宋体" w:hAnsi="宋体"/>
                <w:kern w:val="2"/>
                <w:sz w:val="21"/>
                <w:szCs w:val="21"/>
                <w:highlight w:val="none"/>
                <w:lang w:val="en-US" w:eastAsia="zh-CN"/>
              </w:rPr>
              <w:t>40</w:t>
            </w:r>
            <w:r>
              <w:rPr>
                <w:rFonts w:hint="eastAsia" w:ascii="宋体" w:hAnsi="宋体"/>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noWrap w:val="0"/>
            <w:vAlign w:val="center"/>
          </w:tcPr>
          <w:p>
            <w:pPr>
              <w:pStyle w:val="7"/>
              <w:spacing w:line="160" w:lineRule="atLeast"/>
              <w:jc w:val="center"/>
              <w:rPr>
                <w:rFonts w:hAnsi="宋体"/>
                <w:szCs w:val="21"/>
              </w:rPr>
            </w:pPr>
            <w:r>
              <w:rPr>
                <w:rFonts w:hint="eastAsia" w:hAnsi="宋体"/>
                <w:szCs w:val="21"/>
              </w:rPr>
              <w:t>2.2.4（3）</w:t>
            </w:r>
          </w:p>
        </w:tc>
        <w:tc>
          <w:tcPr>
            <w:tcW w:w="741" w:type="dxa"/>
            <w:tcBorders>
              <w:top w:val="nil"/>
            </w:tcBorders>
            <w:noWrap w:val="0"/>
            <w:vAlign w:val="center"/>
          </w:tcPr>
          <w:p>
            <w:pPr>
              <w:pStyle w:val="7"/>
              <w:spacing w:line="160" w:lineRule="atLeast"/>
              <w:jc w:val="center"/>
              <w:rPr>
                <w:rFonts w:hint="eastAsia" w:hAnsi="宋体"/>
                <w:szCs w:val="21"/>
              </w:rPr>
            </w:pPr>
            <w:r>
              <w:rPr>
                <w:rFonts w:hint="eastAsia" w:hAnsi="宋体"/>
                <w:szCs w:val="21"/>
              </w:rPr>
              <w:t>评标价</w:t>
            </w:r>
          </w:p>
        </w:tc>
        <w:tc>
          <w:tcPr>
            <w:tcW w:w="831" w:type="dxa"/>
            <w:tcBorders>
              <w:top w:val="nil"/>
              <w:bottom w:val="single" w:color="auto" w:sz="4" w:space="0"/>
            </w:tcBorders>
            <w:noWrap w:val="0"/>
            <w:vAlign w:val="center"/>
          </w:tcPr>
          <w:p>
            <w:pPr>
              <w:pStyle w:val="7"/>
              <w:spacing w:line="160" w:lineRule="atLeast"/>
              <w:jc w:val="center"/>
              <w:rPr>
                <w:rFonts w:hAnsi="宋体"/>
                <w:szCs w:val="21"/>
              </w:rPr>
            </w:pPr>
            <w:r>
              <w:rPr>
                <w:rFonts w:hint="eastAsia" w:hAnsi="宋体"/>
                <w:szCs w:val="21"/>
              </w:rPr>
              <w:t>10</w:t>
            </w:r>
            <w:r>
              <w:rPr>
                <w:rFonts w:hint="eastAsia" w:hAnsi="宋体"/>
                <w:szCs w:val="21"/>
                <w:lang w:val="en-US" w:eastAsia="zh-CN"/>
              </w:rPr>
              <w:t>0</w:t>
            </w:r>
            <w:r>
              <w:rPr>
                <w:rFonts w:hint="eastAsia" w:hAnsi="宋体"/>
                <w:szCs w:val="21"/>
              </w:rPr>
              <w:t>分</w:t>
            </w:r>
          </w:p>
        </w:tc>
        <w:tc>
          <w:tcPr>
            <w:tcW w:w="7339" w:type="dxa"/>
            <w:gridSpan w:val="4"/>
            <w:tcBorders>
              <w:bottom w:val="single" w:color="auto" w:sz="4" w:space="0"/>
            </w:tcBorders>
            <w:noWrap w:val="0"/>
            <w:vAlign w:val="center"/>
          </w:tcPr>
          <w:p>
            <w:pPr>
              <w:rPr>
                <w:rFonts w:ascii="宋体" w:hAnsi="宋体"/>
                <w:kern w:val="2"/>
                <w:sz w:val="21"/>
                <w:szCs w:val="21"/>
              </w:rPr>
            </w:pPr>
            <w:r>
              <w:rPr>
                <w:rFonts w:hint="eastAsia" w:ascii="宋体" w:hAnsi="宋体"/>
                <w:kern w:val="2"/>
                <w:sz w:val="21"/>
                <w:szCs w:val="21"/>
              </w:rPr>
              <w:t>评标价得分计算公式示例：</w:t>
            </w:r>
          </w:p>
          <w:p>
            <w:pPr>
              <w:rPr>
                <w:rFonts w:ascii="宋体" w:hAnsi="宋体"/>
                <w:kern w:val="2"/>
                <w:sz w:val="21"/>
                <w:szCs w:val="21"/>
              </w:rPr>
            </w:pPr>
            <w:r>
              <w:rPr>
                <w:rFonts w:hint="eastAsia" w:ascii="宋体" w:hAnsi="宋体"/>
                <w:kern w:val="2"/>
                <w:sz w:val="21"/>
                <w:szCs w:val="21"/>
              </w:rPr>
              <w:t>（1）如果投标人的评标价＞评标基准价，则评标价得分=F-（投标人评标价-评标基准价）/评标基准价×100×E1；</w:t>
            </w:r>
          </w:p>
          <w:p>
            <w:pPr>
              <w:rPr>
                <w:rFonts w:ascii="宋体" w:hAnsi="宋体"/>
                <w:kern w:val="2"/>
                <w:sz w:val="21"/>
                <w:szCs w:val="21"/>
              </w:rPr>
            </w:pPr>
            <w:r>
              <w:rPr>
                <w:rFonts w:hint="eastAsia" w:ascii="宋体" w:hAnsi="宋体"/>
                <w:kern w:val="2"/>
                <w:sz w:val="21"/>
                <w:szCs w:val="21"/>
              </w:rPr>
              <w:t>（2）如果投标人的评标价≤评标基准价，则评标价得分=F+(投标人评标价-评标基准价)/评标基准价×100×E2。</w:t>
            </w:r>
          </w:p>
          <w:p>
            <w:pPr>
              <w:jc w:val="left"/>
              <w:rPr>
                <w:rFonts w:hint="default" w:ascii="宋体" w:hAnsi="宋体" w:eastAsia="宋体"/>
                <w:kern w:val="2"/>
                <w:sz w:val="21"/>
                <w:szCs w:val="21"/>
                <w:lang w:val="en-US" w:eastAsia="zh-CN"/>
              </w:rPr>
            </w:pPr>
            <w:r>
              <w:rPr>
                <w:rFonts w:hint="eastAsia" w:ascii="宋体" w:hAnsi="宋体"/>
                <w:sz w:val="21"/>
                <w:szCs w:val="21"/>
              </w:rPr>
              <w:t>其中，</w:t>
            </w:r>
            <w:r>
              <w:rPr>
                <w:rFonts w:hint="eastAsia" w:ascii="宋体" w:hAnsi="宋体"/>
                <w:sz w:val="21"/>
                <w:szCs w:val="21"/>
                <w:highlight w:val="none"/>
              </w:rPr>
              <w:t>F=1</w:t>
            </w:r>
            <w:r>
              <w:rPr>
                <w:rFonts w:hint="eastAsia" w:ascii="宋体" w:hAnsi="宋体"/>
                <w:sz w:val="21"/>
                <w:szCs w:val="21"/>
                <w:highlight w:val="none"/>
                <w:lang w:val="en-US" w:eastAsia="zh-CN"/>
              </w:rPr>
              <w:t>0</w:t>
            </w:r>
            <w:r>
              <w:rPr>
                <w:rFonts w:hint="eastAsia" w:ascii="宋体" w:hAnsi="宋体"/>
                <w:sz w:val="21"/>
                <w:szCs w:val="21"/>
                <w:highlight w:val="none"/>
              </w:rPr>
              <w:t>0；E1=</w:t>
            </w:r>
            <w:r>
              <w:rPr>
                <w:rFonts w:hint="eastAsia" w:ascii="宋体" w:hAnsi="宋体"/>
                <w:sz w:val="21"/>
                <w:szCs w:val="21"/>
                <w:highlight w:val="none"/>
                <w:lang w:val="en-US" w:eastAsia="zh-CN"/>
              </w:rPr>
              <w:t>1</w:t>
            </w:r>
            <w:r>
              <w:rPr>
                <w:rFonts w:hint="eastAsia" w:ascii="宋体" w:hAnsi="宋体"/>
                <w:sz w:val="21"/>
                <w:szCs w:val="21"/>
                <w:highlight w:val="none"/>
              </w:rPr>
              <w:t>；E2=</w:t>
            </w:r>
            <w:r>
              <w:rPr>
                <w:rFonts w:hint="eastAsia" w:ascii="宋体" w:hAnsi="宋体"/>
                <w:sz w:val="21"/>
                <w:szCs w:val="21"/>
                <w:highlight w:val="none"/>
                <w:lang w:val="en-US" w:eastAsia="zh-CN"/>
              </w:rPr>
              <w:t>0.5</w:t>
            </w:r>
            <w:r>
              <w:rPr>
                <w:rFonts w:hint="eastAsia" w:ascii="宋体" w:hAnsi="宋体"/>
                <w:sz w:val="21"/>
                <w:szCs w:val="21"/>
                <w:highlight w:val="none"/>
              </w:rPr>
              <w:t>；评标价最低得分为0分</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1" w:type="dxa"/>
            <w:noWrap w:val="0"/>
            <w:vAlign w:val="center"/>
          </w:tcPr>
          <w:p>
            <w:pPr>
              <w:pStyle w:val="7"/>
              <w:spacing w:line="160" w:lineRule="atLeast"/>
              <w:jc w:val="center"/>
              <w:rPr>
                <w:rFonts w:hAnsi="宋体"/>
                <w:szCs w:val="21"/>
              </w:rPr>
            </w:pPr>
            <w:r>
              <w:rPr>
                <w:rFonts w:hint="eastAsia" w:hAnsi="宋体"/>
                <w:szCs w:val="21"/>
              </w:rPr>
              <w:t>2.2.4（4）</w:t>
            </w:r>
          </w:p>
        </w:tc>
        <w:tc>
          <w:tcPr>
            <w:tcW w:w="741" w:type="dxa"/>
            <w:noWrap w:val="0"/>
            <w:vAlign w:val="center"/>
          </w:tcPr>
          <w:p>
            <w:pPr>
              <w:pStyle w:val="7"/>
              <w:spacing w:line="160" w:lineRule="atLeast"/>
              <w:jc w:val="center"/>
              <w:rPr>
                <w:rFonts w:hAnsi="宋体"/>
                <w:szCs w:val="21"/>
              </w:rPr>
            </w:pPr>
            <w:r>
              <w:rPr>
                <w:rFonts w:hint="eastAsia" w:hAnsi="宋体"/>
                <w:szCs w:val="21"/>
              </w:rPr>
              <w:t>其他因素</w:t>
            </w:r>
          </w:p>
        </w:tc>
        <w:tc>
          <w:tcPr>
            <w:tcW w:w="831" w:type="dxa"/>
            <w:tcBorders>
              <w:top w:val="single" w:color="auto" w:sz="4" w:space="0"/>
            </w:tcBorders>
            <w:noWrap w:val="0"/>
            <w:vAlign w:val="center"/>
          </w:tcPr>
          <w:p>
            <w:pPr>
              <w:pStyle w:val="7"/>
              <w:spacing w:line="160" w:lineRule="atLeast"/>
              <w:jc w:val="center"/>
              <w:rPr>
                <w:rFonts w:hAnsi="宋体"/>
                <w:szCs w:val="21"/>
              </w:rPr>
            </w:pPr>
            <w:r>
              <w:rPr>
                <w:rFonts w:hint="eastAsia" w:hAnsi="宋体"/>
                <w:szCs w:val="21"/>
                <w:lang w:val="en-US" w:eastAsia="zh-CN"/>
              </w:rPr>
              <w:t>100</w:t>
            </w:r>
            <w:r>
              <w:rPr>
                <w:rFonts w:hint="eastAsia" w:hAnsi="宋体"/>
                <w:szCs w:val="21"/>
              </w:rPr>
              <w:t>分</w:t>
            </w:r>
          </w:p>
        </w:tc>
        <w:tc>
          <w:tcPr>
            <w:tcW w:w="1239" w:type="dxa"/>
            <w:tcBorders>
              <w:top w:val="single" w:color="auto" w:sz="4" w:space="0"/>
            </w:tcBorders>
            <w:noWrap w:val="0"/>
            <w:vAlign w:val="center"/>
          </w:tcPr>
          <w:p>
            <w:pPr>
              <w:pStyle w:val="7"/>
              <w:spacing w:line="160" w:lineRule="atLeast"/>
              <w:jc w:val="center"/>
              <w:rPr>
                <w:rFonts w:hAnsi="宋体"/>
                <w:szCs w:val="21"/>
              </w:rPr>
            </w:pPr>
            <w:r>
              <w:rPr>
                <w:rFonts w:hint="eastAsia" w:hAnsi="宋体"/>
                <w:szCs w:val="21"/>
              </w:rPr>
              <w:t>业绩</w:t>
            </w:r>
          </w:p>
        </w:tc>
        <w:tc>
          <w:tcPr>
            <w:tcW w:w="604" w:type="dxa"/>
            <w:tcBorders>
              <w:top w:val="single" w:color="auto" w:sz="4" w:space="0"/>
            </w:tcBorders>
            <w:noWrap w:val="0"/>
            <w:vAlign w:val="center"/>
          </w:tcPr>
          <w:p>
            <w:pPr>
              <w:pStyle w:val="7"/>
              <w:spacing w:line="160" w:lineRule="atLeast"/>
              <w:jc w:val="center"/>
              <w:rPr>
                <w:rFonts w:hAnsi="宋体"/>
                <w:szCs w:val="21"/>
              </w:rPr>
            </w:pPr>
            <w:r>
              <w:rPr>
                <w:rFonts w:hint="eastAsia" w:hAnsi="宋体"/>
                <w:szCs w:val="21"/>
                <w:lang w:val="en-US" w:eastAsia="zh-CN"/>
              </w:rPr>
              <w:t>100</w:t>
            </w:r>
            <w:r>
              <w:rPr>
                <w:rFonts w:hint="eastAsia" w:hAnsi="宋体"/>
                <w:szCs w:val="21"/>
              </w:rPr>
              <w:t>分</w:t>
            </w:r>
          </w:p>
        </w:tc>
        <w:tc>
          <w:tcPr>
            <w:tcW w:w="5496" w:type="dxa"/>
            <w:gridSpan w:val="2"/>
            <w:tcBorders>
              <w:top w:val="single" w:color="auto" w:sz="4" w:space="0"/>
            </w:tcBorders>
            <w:noWrap w:val="0"/>
            <w:vAlign w:val="center"/>
          </w:tcPr>
          <w:p>
            <w:pPr>
              <w:rPr>
                <w:rFonts w:hint="eastAsia" w:ascii="宋体" w:hAnsi="宋体"/>
                <w:kern w:val="2"/>
                <w:sz w:val="21"/>
                <w:szCs w:val="21"/>
                <w:highlight w:val="none"/>
              </w:rPr>
            </w:pPr>
            <w:r>
              <w:rPr>
                <w:rFonts w:hint="eastAsia" w:ascii="宋体" w:hAnsi="宋体"/>
                <w:kern w:val="2"/>
                <w:sz w:val="21"/>
                <w:szCs w:val="21"/>
                <w:highlight w:val="none"/>
              </w:rPr>
              <w:t>满足资格审查条件要求得</w:t>
            </w:r>
            <w:r>
              <w:rPr>
                <w:rFonts w:hint="eastAsia" w:ascii="宋体" w:hAnsi="宋体"/>
                <w:kern w:val="2"/>
                <w:sz w:val="21"/>
                <w:szCs w:val="21"/>
                <w:highlight w:val="none"/>
                <w:lang w:val="en-US" w:eastAsia="zh-CN"/>
              </w:rPr>
              <w:t>60</w:t>
            </w:r>
            <w:r>
              <w:rPr>
                <w:rFonts w:hint="eastAsia" w:ascii="宋体" w:hAnsi="宋体"/>
                <w:kern w:val="2"/>
                <w:sz w:val="21"/>
                <w:szCs w:val="21"/>
                <w:highlight w:val="none"/>
              </w:rPr>
              <w:t>分；</w:t>
            </w:r>
          </w:p>
          <w:p>
            <w:pPr>
              <w:rPr>
                <w:rFonts w:hint="eastAsia" w:ascii="宋体" w:hAnsi="宋体"/>
                <w:kern w:val="2"/>
                <w:sz w:val="21"/>
                <w:szCs w:val="21"/>
                <w:highlight w:val="none"/>
              </w:rPr>
            </w:pPr>
            <w:r>
              <w:rPr>
                <w:rFonts w:hint="eastAsia"/>
                <w:kern w:val="2"/>
                <w:sz w:val="21"/>
                <w:szCs w:val="21"/>
                <w:highlight w:val="none"/>
              </w:rPr>
              <w:t>满足资格审查的基础上，</w:t>
            </w:r>
            <w:r>
              <w:rPr>
                <w:rFonts w:hint="eastAsia" w:ascii="宋体" w:hAnsi="宋体"/>
                <w:kern w:val="2"/>
                <w:sz w:val="21"/>
                <w:szCs w:val="21"/>
                <w:highlight w:val="none"/>
              </w:rPr>
              <w:t>每增加1项满足资格审查条件业绩要求的业绩，加</w:t>
            </w:r>
            <w:r>
              <w:rPr>
                <w:rFonts w:hint="eastAsia" w:ascii="宋体" w:hAnsi="宋体"/>
                <w:kern w:val="2"/>
                <w:sz w:val="21"/>
                <w:szCs w:val="21"/>
                <w:highlight w:val="none"/>
                <w:lang w:val="en-US" w:eastAsia="zh-CN"/>
              </w:rPr>
              <w:t>20</w:t>
            </w:r>
            <w:r>
              <w:rPr>
                <w:rFonts w:hint="eastAsia" w:ascii="宋体" w:hAnsi="宋体"/>
                <w:kern w:val="2"/>
                <w:sz w:val="21"/>
                <w:szCs w:val="21"/>
                <w:highlight w:val="none"/>
              </w:rPr>
              <w:t>分，最多加</w:t>
            </w:r>
            <w:r>
              <w:rPr>
                <w:rFonts w:hint="eastAsia" w:ascii="宋体" w:hAnsi="宋体"/>
                <w:kern w:val="2"/>
                <w:sz w:val="21"/>
                <w:szCs w:val="21"/>
                <w:highlight w:val="none"/>
                <w:lang w:val="en-US" w:eastAsia="zh-CN"/>
              </w:rPr>
              <w:t>40</w:t>
            </w:r>
            <w:r>
              <w:rPr>
                <w:rFonts w:hint="eastAsia" w:ascii="宋体" w:hAnsi="宋体"/>
                <w:kern w:val="2"/>
                <w:sz w:val="21"/>
                <w:szCs w:val="21"/>
                <w:highlight w:val="none"/>
              </w:rPr>
              <w:t>分；</w:t>
            </w:r>
          </w:p>
        </w:tc>
      </w:tr>
    </w:tbl>
    <w:p>
      <w:pPr>
        <w:pStyle w:val="2"/>
      </w:pP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2VjNzY4Yzc5M2E4ODVlMWVlOTE4ZjU2ZmQ0ZjUifQ=="/>
  </w:docVars>
  <w:rsids>
    <w:rsidRoot w:val="01415FC0"/>
    <w:rsid w:val="01415FC0"/>
    <w:rsid w:val="1584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120" w:line="240" w:lineRule="auto"/>
      <w:ind w:firstLine="420" w:firstLineChars="100"/>
    </w:pPr>
    <w:rPr>
      <w:rFonts w:ascii="Calibri" w:hAnsi="Calibri" w:eastAsia="宋体" w:cs="Times New Roman"/>
      <w:color w:val="auto"/>
      <w:sz w:val="22"/>
      <w:szCs w:val="22"/>
      <w:lang w:bidi="ar-SA"/>
    </w:rPr>
  </w:style>
  <w:style w:type="paragraph" w:styleId="3">
    <w:name w:val="Body Text"/>
    <w:basedOn w:val="1"/>
    <w:next w:val="4"/>
    <w:qFormat/>
    <w:uiPriority w:val="0"/>
    <w:rPr>
      <w:kern w:val="2"/>
      <w:szCs w:val="24"/>
    </w:rPr>
  </w:style>
  <w:style w:type="paragraph" w:customStyle="1" w:styleId="4">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样式54"/>
    <w:basedOn w:val="5"/>
    <w:qFormat/>
    <w:uiPriority w:val="0"/>
    <w:pPr>
      <w:spacing w:before="0" w:after="0" w:line="360" w:lineRule="auto"/>
      <w:jc w:val="center"/>
    </w:pPr>
  </w:style>
  <w:style w:type="paragraph" w:customStyle="1" w:styleId="12">
    <w:name w:val="样式55"/>
    <w:basedOn w:val="6"/>
    <w:qFormat/>
    <w:uiPriority w:val="0"/>
    <w:pPr>
      <w:spacing w:before="0" w:after="0" w:line="360" w:lineRule="auto"/>
    </w:pPr>
    <w:rPr>
      <w:sz w:val="28"/>
    </w:rPr>
  </w:style>
  <w:style w:type="character" w:customStyle="1" w:styleId="1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416</Words>
  <Characters>425</Characters>
  <Lines>0</Lines>
  <Paragraphs>0</Paragraphs>
  <TotalTime>0</TotalTime>
  <ScaleCrop>false</ScaleCrop>
  <LinksUpToDate>false</LinksUpToDate>
  <CharactersWithSpaces>436</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2022-09-06T03:30:00Z</dcterms:created>
  <dc:creator>Administrator</dc:creator>
  <cp:lastModifiedBy>Administrator</cp:lastModifiedBy>
  <dcterms:modified xsi:type="dcterms:W3CDTF">2022-09-06T03:31:26Z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FD455B2CC12B40F5929ECF5C61D17765</vt:lpwstr>
  </property>
</Properties>
</file>