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tabs>
          <w:tab w:val="left" w:pos="3433"/>
        </w:tabs>
        <w:kinsoku/>
        <w:wordWrap w:val="0"/>
        <w:overflowPunct/>
        <w:topLinePunct w:val="0"/>
        <w:bidi w:val="0"/>
        <w:spacing w:line="300" w:lineRule="exact"/>
        <w:textAlignment w:val="auto"/>
        <w:rPr>
          <w:rFonts w:hint="eastAsia" w:ascii="宋体" w:hAnsi="宋体"/>
          <w:sz w:val="24"/>
          <w:szCs w:val="24"/>
        </w:rPr>
      </w:pPr>
      <w:r>
        <w:rPr>
          <w:rFonts w:hint="eastAsia" w:ascii="宋体" w:hAnsi="宋体"/>
          <w:sz w:val="24"/>
          <w:szCs w:val="24"/>
        </w:rPr>
        <w:t>附件</w:t>
      </w:r>
      <w:r>
        <w:rPr>
          <w:rFonts w:hint="eastAsia" w:ascii="宋体" w:hAnsi="宋体"/>
          <w:sz w:val="24"/>
          <w:szCs w:val="24"/>
          <w:lang w:val="en-US" w:eastAsia="zh-CN"/>
        </w:rPr>
        <w:t>4</w:t>
      </w:r>
      <w:r>
        <w:rPr>
          <w:rFonts w:hint="eastAsia" w:ascii="宋体" w:hAnsi="宋体"/>
          <w:sz w:val="24"/>
          <w:szCs w:val="24"/>
        </w:rPr>
        <w:t>：评标办法</w:t>
      </w:r>
    </w:p>
    <w:p>
      <w:pPr>
        <w:pStyle w:val="6"/>
        <w:keepNext/>
        <w:keepLines/>
        <w:pageBreakBefore w:val="0"/>
        <w:shd w:val="clear" w:color="auto" w:fill="auto"/>
        <w:kinsoku/>
        <w:wordWrap w:val="0"/>
        <w:overflowPunct/>
        <w:topLinePunct w:val="0"/>
        <w:bidi w:val="0"/>
        <w:spacing w:before="0" w:beforeLines="0" w:after="0" w:afterLines="0"/>
        <w:jc w:val="left"/>
        <w:textAlignment w:val="auto"/>
        <w:rPr>
          <w:rFonts w:hint="eastAsia" w:ascii="宋体" w:hAnsi="宋体" w:eastAsia="宋体" w:cs="宋体"/>
          <w:color w:val="000000"/>
          <w:lang w:val="zh-CN" w:bidi="zh-CN"/>
        </w:rPr>
      </w:pPr>
      <w:r>
        <w:rPr>
          <w:rFonts w:hint="eastAsia" w:ascii="宋体" w:hAnsi="宋体" w:eastAsia="宋体" w:cs="宋体"/>
          <w:color w:val="000000"/>
          <w:lang w:val="zh-CN" w:bidi="zh-CN"/>
        </w:rPr>
        <w:t>评标办法前附表</w:t>
      </w:r>
    </w:p>
    <w:p>
      <w:pPr>
        <w:pStyle w:val="6"/>
        <w:keepNext/>
        <w:keepLines/>
        <w:pageBreakBefore w:val="0"/>
        <w:shd w:val="clear" w:color="auto" w:fill="auto"/>
        <w:kinsoku/>
        <w:wordWrap w:val="0"/>
        <w:overflowPunct/>
        <w:topLinePunct w:val="0"/>
        <w:bidi w:val="0"/>
        <w:spacing w:before="0" w:beforeLines="0" w:after="0" w:afterLines="0"/>
        <w:jc w:val="left"/>
        <w:textAlignment w:val="auto"/>
        <w:rPr>
          <w:rFonts w:hint="eastAsia" w:ascii="宋体" w:hAnsi="宋体" w:eastAsia="宋体" w:cs="宋体"/>
          <w:color w:val="000000"/>
          <w:lang w:val="zh-CN" w:bidi="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989"/>
        <w:gridCol w:w="6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150" w:type="dxa"/>
            <w:gridSpan w:val="2"/>
            <w:noWrap w:val="0"/>
            <w:vAlign w:val="center"/>
          </w:tcPr>
          <w:p>
            <w:pPr>
              <w:pStyle w:val="6"/>
              <w:keepNext/>
              <w:keepLines/>
              <w:pageBreakBefore w:val="0"/>
              <w:shd w:val="clear" w:color="auto" w:fill="auto"/>
              <w:kinsoku/>
              <w:wordWrap w:val="0"/>
              <w:overflowPunct/>
              <w:topLinePunct w:val="0"/>
              <w:bidi w:val="0"/>
              <w:spacing w:before="0" w:beforeLines="0" w:after="0" w:afterLines="0"/>
              <w:jc w:val="center"/>
              <w:textAlignment w:val="auto"/>
              <w:rPr>
                <w:rFonts w:hint="eastAsia" w:ascii="宋体" w:hAnsi="宋体" w:eastAsia="宋体" w:cs="宋体"/>
                <w:b/>
                <w:bCs/>
                <w:color w:val="000000"/>
                <w:kern w:val="2"/>
                <w:sz w:val="21"/>
                <w:szCs w:val="24"/>
                <w:u w:val="none"/>
                <w:lang w:val="zh-CN" w:eastAsia="zh-CN" w:bidi="zh-CN"/>
              </w:rPr>
            </w:pPr>
            <w:r>
              <w:rPr>
                <w:rFonts w:hint="eastAsia" w:ascii="宋体" w:hAnsi="宋体" w:eastAsia="宋体" w:cs="宋体"/>
                <w:b/>
                <w:bCs/>
                <w:color w:val="000000"/>
                <w:kern w:val="2"/>
                <w:sz w:val="21"/>
                <w:szCs w:val="24"/>
                <w:u w:val="none"/>
                <w:lang w:val="zh-CN" w:eastAsia="zh-CN" w:bidi="zh-CN"/>
              </w:rPr>
              <w:t>条款号</w:t>
            </w:r>
          </w:p>
        </w:tc>
        <w:tc>
          <w:tcPr>
            <w:tcW w:w="6806" w:type="dxa"/>
            <w:noWrap w:val="0"/>
            <w:vAlign w:val="center"/>
          </w:tcPr>
          <w:p>
            <w:pPr>
              <w:pStyle w:val="6"/>
              <w:keepNext/>
              <w:keepLines/>
              <w:pageBreakBefore w:val="0"/>
              <w:shd w:val="clear" w:color="auto" w:fill="auto"/>
              <w:kinsoku/>
              <w:wordWrap w:val="0"/>
              <w:overflowPunct/>
              <w:topLinePunct w:val="0"/>
              <w:bidi w:val="0"/>
              <w:spacing w:before="0" w:beforeLines="0" w:after="0" w:afterLines="0"/>
              <w:jc w:val="center"/>
              <w:textAlignment w:val="auto"/>
              <w:rPr>
                <w:rFonts w:hint="eastAsia" w:ascii="宋体" w:hAnsi="宋体" w:eastAsia="宋体" w:cs="宋体"/>
                <w:b/>
                <w:bCs/>
                <w:color w:val="000000"/>
                <w:kern w:val="2"/>
                <w:sz w:val="21"/>
                <w:szCs w:val="24"/>
                <w:u w:val="none"/>
                <w:lang w:val="zh-CN" w:eastAsia="zh-CN" w:bidi="zh-CN"/>
              </w:rPr>
            </w:pPr>
            <w:r>
              <w:rPr>
                <w:rFonts w:hint="eastAsia" w:ascii="宋体" w:hAnsi="宋体" w:eastAsia="宋体" w:cs="宋体"/>
                <w:b/>
                <w:bCs/>
                <w:color w:val="000000"/>
                <w:kern w:val="2"/>
                <w:sz w:val="21"/>
                <w:szCs w:val="24"/>
                <w:u w:val="none"/>
                <w:lang w:val="zh-CN" w:eastAsia="zh-CN" w:bidi="zh-CN"/>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pPr>
              <w:pageBreakBefore w:val="0"/>
              <w:kinsoku/>
              <w:wordWrap w:val="0"/>
              <w:overflowPunct/>
              <w:topLinePunct w:val="0"/>
              <w:bidi w:val="0"/>
              <w:spacing w:line="360" w:lineRule="auto"/>
              <w:jc w:val="left"/>
              <w:textAlignment w:val="auto"/>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1</w:t>
            </w:r>
          </w:p>
        </w:tc>
        <w:tc>
          <w:tcPr>
            <w:tcW w:w="1989" w:type="dxa"/>
            <w:noWrap w:val="0"/>
            <w:vAlign w:val="center"/>
          </w:tcPr>
          <w:p>
            <w:pPr>
              <w:pageBreakBefore w:val="0"/>
              <w:kinsoku/>
              <w:wordWrap w:val="0"/>
              <w:overflowPunct/>
              <w:topLinePunct w:val="0"/>
              <w:bidi w:val="0"/>
              <w:spacing w:line="360" w:lineRule="auto"/>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评标办法</w:t>
            </w:r>
          </w:p>
        </w:tc>
        <w:tc>
          <w:tcPr>
            <w:tcW w:w="6806" w:type="dxa"/>
            <w:noWrap w:val="0"/>
            <w:vAlign w:val="center"/>
          </w:tcPr>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 xml:space="preserve">本次评标采用综合评估法。评标委员会对满足招标文件实质性要求的投标文件，按照本章第 2.2 款规定的评分标准进行打分，并按得分由高到低顺序推 荐 1-3 名中标候选人。综合评分相等时，评标委员会依次按照以下优先顺序推荐中标候选人：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 xml:space="preserve">（1）评标价低的投标人优先；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 xml:space="preserve">（2）技术文件得分较高的投标人优先；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（3）投标人近</w:t>
            </w:r>
            <w:r>
              <w:rPr>
                <w:rFonts w:hint="eastAsia" w:ascii="宋体" w:hAnsi="宋体" w:eastAsia="宋体" w:cs="宋体"/>
                <w:color w:val="000000"/>
                <w:lang w:val="en-US" w:eastAsia="zh-CN" w:bidi="zh-CN"/>
              </w:rPr>
              <w:t>5</w:t>
            </w:r>
            <w:r>
              <w:rPr>
                <w:rFonts w:hint="eastAsia" w:ascii="宋体" w:hAnsi="宋体" w:eastAsia="宋体" w:cs="宋体"/>
                <w:color w:val="000000"/>
                <w:lang w:val="zh-CN" w:eastAsia="zh-CN" w:bidi="zh-CN"/>
              </w:rPr>
              <w:t>年内满足资格审查条件(业绩最低条件)要求的业绩累计金额高的优先。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 xml:space="preserve">2.1.1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2.1.3</w:t>
            </w:r>
          </w:p>
        </w:tc>
        <w:tc>
          <w:tcPr>
            <w:tcW w:w="1989" w:type="dxa"/>
            <w:noWrap w:val="0"/>
            <w:vAlign w:val="center"/>
          </w:tcPr>
          <w:p>
            <w:pPr>
              <w:pageBreakBefore w:val="0"/>
              <w:kinsoku/>
              <w:wordWrap w:val="0"/>
              <w:overflowPunct/>
              <w:topLinePunct w:val="0"/>
              <w:bidi w:val="0"/>
              <w:spacing w:line="360" w:lineRule="auto"/>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形式评审与响应性评审标准</w:t>
            </w:r>
          </w:p>
        </w:tc>
        <w:tc>
          <w:tcPr>
            <w:tcW w:w="6806" w:type="dxa"/>
            <w:noWrap w:val="0"/>
            <w:vAlign w:val="center"/>
          </w:tcPr>
          <w:p>
            <w:pPr>
              <w:pageBreakBefore w:val="0"/>
              <w:kinsoku/>
              <w:wordWrap w:val="0"/>
              <w:overflowPunct/>
              <w:topLinePunct w:val="0"/>
              <w:bidi w:val="0"/>
              <w:spacing w:line="360" w:lineRule="auto"/>
              <w:ind w:firstLine="422" w:firstLineChars="200"/>
              <w:jc w:val="left"/>
              <w:textAlignment w:val="auto"/>
              <w:outlineLvl w:val="1"/>
              <w:rPr>
                <w:rFonts w:hint="eastAsia" w:ascii="宋体" w:hAnsi="宋体" w:cs="宋体"/>
                <w:b/>
                <w:bCs/>
                <w:color w:val="000000"/>
                <w:lang w:val="zh-CN" w:bidi="zh-CN"/>
              </w:rPr>
            </w:pPr>
            <w:r>
              <w:rPr>
                <w:rFonts w:hint="eastAsia" w:ascii="宋体" w:hAnsi="宋体" w:cs="宋体"/>
                <w:b/>
                <w:bCs/>
                <w:color w:val="000000"/>
                <w:lang w:val="zh-CN" w:bidi="zh-CN"/>
              </w:rPr>
              <w:t>第一个信封(商务及技术文件)评审标准：</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val="en-US" w:bidi="zh-CN"/>
              </w:rPr>
              <w:t>1</w:t>
            </w:r>
            <w:r>
              <w:rPr>
                <w:rFonts w:hint="eastAsia" w:ascii="宋体" w:hAnsi="宋体" w:cs="宋体"/>
                <w:color w:val="000000"/>
                <w:lang w:val="zh-CN" w:bidi="zh-CN"/>
              </w:rPr>
              <w:t>）投标文件按照招标文件规定的格式、内容填写，字迹清晰可辨：</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bidi="zh-CN"/>
              </w:rPr>
              <w:t>a.</w:t>
            </w:r>
            <w:r>
              <w:rPr>
                <w:rFonts w:hint="eastAsia" w:ascii="宋体" w:hAnsi="宋体" w:cs="宋体"/>
                <w:color w:val="000000"/>
                <w:lang w:val="zh-CN" w:bidi="zh-CN"/>
              </w:rPr>
              <w:t>投标函按招标文件规定填报了项目名称、标段号、补遗书编号(如有)、监理服务期限、工程质量要求及安全目标；</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bidi="zh-CN"/>
              </w:rPr>
              <w:t>b.</w:t>
            </w:r>
            <w:r>
              <w:rPr>
                <w:rFonts w:hint="eastAsia" w:ascii="宋体" w:hAnsi="宋体" w:cs="宋体"/>
                <w:color w:val="000000"/>
                <w:lang w:val="zh-CN" w:bidi="zh-CN"/>
              </w:rPr>
              <w:t>投标文件组成齐全完整，内容均按规定填写。</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bidi="zh-CN"/>
              </w:rPr>
              <w:t>(2)</w:t>
            </w:r>
            <w:r>
              <w:rPr>
                <w:rFonts w:hint="eastAsia" w:ascii="宋体" w:hAnsi="宋体" w:cs="宋体"/>
                <w:color w:val="000000"/>
                <w:lang w:val="zh-CN" w:bidi="zh-CN"/>
              </w:rPr>
              <w:t>投标文件上法定代表人或其委托代理人的签字、投标人的单位章盖章齐全，符合招标文件规定。</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3</w:t>
            </w:r>
            <w:r>
              <w:rPr>
                <w:rFonts w:hint="eastAsia" w:ascii="宋体" w:hAnsi="宋体" w:cs="宋体"/>
                <w:color w:val="000000"/>
                <w:lang w:val="zh-CN" w:bidi="zh-CN"/>
              </w:rPr>
              <w:t>）投标人按照招标文件的规定提供了投标保证金：</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a</w:t>
            </w:r>
            <w:r>
              <w:rPr>
                <w:rFonts w:hint="eastAsia" w:ascii="宋体" w:hAnsi="宋体" w:cs="宋体"/>
                <w:color w:val="000000"/>
                <w:lang w:bidi="zh-CN"/>
              </w:rPr>
              <w:t>.</w:t>
            </w:r>
            <w:r>
              <w:rPr>
                <w:rFonts w:hint="eastAsia" w:ascii="宋体" w:hAnsi="宋体" w:cs="宋体"/>
                <w:color w:val="000000"/>
                <w:lang w:val="zh-CN" w:bidi="zh-CN"/>
              </w:rPr>
              <w:t>投标保证金金额符合招标文件规定的金额，且投标保证金有效期不少于投标有效期；</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b.若投标保证金采用电汇或转账形式提交，投标人应在递交投标文件截止时间之前，将投标保证金由投标人的基本账户转入招标人指定账户；</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bidi="zh-CN"/>
              </w:rPr>
            </w:pPr>
            <w:r>
              <w:rPr>
                <w:rFonts w:hint="eastAsia" w:ascii="宋体" w:hAnsi="宋体" w:cs="宋体"/>
                <w:color w:val="000000"/>
                <w:lang w:bidi="zh-CN"/>
              </w:rPr>
              <w:t>c.若投标保证金采用银行保函形式提交，银行保函的格式、开具保函的银行均满足招标文件要求，且在递交投标文件截止时间之前向招标人提交了银行保函原件。</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（4）投标人法定代表人授权委托代理人签署投标文件的，须提交授权委托书，授权委托书符合招标文件规定。</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（5）投标人法定代表人亲自签署投标文件的，提供了法定代表人身份证明，法定代表人身份证明符合招标文件规定。</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（6）投标人未以联合体形式投标。 </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（7）投标人未对本项目提出分包计划。 </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（8）同一投标人未提交两个以上不同的投标文件。 </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（9）投标文件第一信封（商务及技术文件）中未出现有关投标报价的内容。 </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（10）投标文件载明的招标项目完成期限未超过招标文件规定的时限。 </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（11）投标文件对招标文件的实质性要求和条件作出响应。 </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（12）权利义务符合招标文件规定： </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a.投标人应接受招标文件规定的风险划分原则，未提出新的风险划分办法； </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b.投标人未增加委托人的责任范围，或减少投标人义务； </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c.投标人未提出不同的支付办法； </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d.投标人对合同纠纷、事故处理办法未提 出异议； </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e.投标人在投标活动中无欺诈行为； </w:t>
            </w:r>
          </w:p>
          <w:p>
            <w:pPr>
              <w:pageBreakBefore w:val="0"/>
              <w:numPr>
                <w:ilvl w:val="0"/>
                <w:numId w:val="0"/>
              </w:numPr>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f.投标人未对合同条款有重要保留；</w:t>
            </w:r>
          </w:p>
          <w:p>
            <w:pPr>
              <w:pageBreakBefore w:val="0"/>
              <w:kinsoku/>
              <w:wordWrap w:val="0"/>
              <w:overflowPunct/>
              <w:topLinePunct w:val="0"/>
              <w:bidi w:val="0"/>
              <w:spacing w:line="360" w:lineRule="auto"/>
              <w:ind w:firstLine="422" w:firstLineChars="200"/>
              <w:jc w:val="left"/>
              <w:textAlignment w:val="auto"/>
              <w:outlineLvl w:val="1"/>
              <w:rPr>
                <w:rFonts w:hint="eastAsia" w:ascii="宋体" w:hAnsi="宋体" w:cs="宋体"/>
                <w:b/>
                <w:bCs/>
                <w:color w:val="000000"/>
                <w:lang w:bidi="zh-CN"/>
              </w:rPr>
            </w:pPr>
            <w:r>
              <w:rPr>
                <w:rFonts w:hint="eastAsia" w:ascii="宋体" w:hAnsi="宋体" w:cs="宋体"/>
                <w:b/>
                <w:bCs/>
                <w:color w:val="000000"/>
                <w:lang w:bidi="zh-CN"/>
              </w:rPr>
              <w:t>第二个信封(报价文件)评审标准：</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bidi="zh-CN"/>
              </w:rPr>
            </w:pPr>
            <w:r>
              <w:rPr>
                <w:rFonts w:hint="eastAsia" w:ascii="宋体" w:hAnsi="宋体" w:cs="宋体"/>
                <w:color w:val="000000"/>
                <w:lang w:bidi="zh-CN"/>
              </w:rPr>
              <w:t>（1）投标文件按照招标文件规定的格式、内容填写，字迹清晰可辨，内容齐全完整：</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bidi="zh-CN"/>
              </w:rPr>
            </w:pPr>
            <w:r>
              <w:rPr>
                <w:rFonts w:hint="eastAsia" w:ascii="宋体" w:hAnsi="宋体" w:cs="宋体"/>
                <w:color w:val="000000"/>
                <w:lang w:bidi="zh-CN"/>
              </w:rPr>
              <w:t>a.投标函按招标文件规定填报了项目名称、标段号、补遗书编号(如有)、投标价(包括大写金额和小写金额)；</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bidi="zh-CN"/>
              </w:rPr>
            </w:pPr>
            <w:r>
              <w:rPr>
                <w:rFonts w:hint="eastAsia" w:ascii="宋体" w:hAnsi="宋体" w:cs="宋体"/>
                <w:color w:val="000000"/>
                <w:lang w:bidi="zh-CN"/>
              </w:rPr>
              <w:t>b.己标价报价清单说明文字与招标文件规定一致，未进行实质性修改和删减；</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bidi="zh-CN"/>
              </w:rPr>
            </w:pPr>
            <w:r>
              <w:rPr>
                <w:rFonts w:hint="eastAsia" w:ascii="宋体" w:hAnsi="宋体" w:cs="宋体"/>
                <w:color w:val="000000"/>
                <w:lang w:bidi="zh-CN"/>
              </w:rPr>
              <w:t>c.投标文件组成齐全完整，内容均按规定填写。</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bidi="zh-CN"/>
              </w:rPr>
            </w:pPr>
            <w:r>
              <w:rPr>
                <w:rFonts w:hint="eastAsia" w:ascii="宋体" w:hAnsi="宋体" w:cs="宋体"/>
                <w:color w:val="000000"/>
                <w:lang w:bidi="zh-CN"/>
              </w:rPr>
              <w:t>（2）投标文件上法定代表人或其委托代理人的签字、投标人的单位章盖章齐全，符合招标文件规定。</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bidi="zh-CN"/>
              </w:rPr>
            </w:pPr>
            <w:r>
              <w:rPr>
                <w:rFonts w:hint="eastAsia" w:ascii="宋体" w:hAnsi="宋体" w:cs="宋体"/>
                <w:color w:val="000000"/>
                <w:lang w:bidi="zh-CN"/>
              </w:rPr>
              <w:t>（3）投标报价未超过招标文件设定的最高投标限价(如有)。</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bidi="zh-CN"/>
              </w:rPr>
            </w:pPr>
            <w:r>
              <w:rPr>
                <w:rFonts w:hint="eastAsia" w:ascii="宋体" w:hAnsi="宋体" w:cs="宋体"/>
                <w:color w:val="000000"/>
                <w:lang w:bidi="zh-CN"/>
              </w:rPr>
              <w:t>（4）投标报价的大写金额能够确定具体数值。</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bidi="zh-CN"/>
              </w:rPr>
              <w:t>（5）同一投标人未提交两个以上不同的投标报价。</w:t>
            </w:r>
          </w:p>
        </w:tc>
      </w:tr>
    </w:tbl>
    <w:p>
      <w:pPr>
        <w:pStyle w:val="6"/>
        <w:keepNext/>
        <w:keepLines/>
        <w:pageBreakBefore w:val="0"/>
        <w:shd w:val="clear" w:color="auto" w:fill="auto"/>
        <w:kinsoku/>
        <w:wordWrap w:val="0"/>
        <w:overflowPunct/>
        <w:topLinePunct w:val="0"/>
        <w:bidi w:val="0"/>
        <w:spacing w:before="0" w:beforeLines="0" w:after="0" w:afterLines="0"/>
        <w:jc w:val="left"/>
        <w:textAlignment w:val="auto"/>
        <w:rPr>
          <w:rFonts w:hint="eastAsia" w:ascii="宋体" w:hAnsi="宋体" w:eastAsia="宋体" w:cs="宋体"/>
          <w:b/>
          <w:bCs/>
          <w:color w:val="000000"/>
          <w:kern w:val="2"/>
          <w:sz w:val="21"/>
          <w:szCs w:val="24"/>
          <w:u w:val="none"/>
          <w:lang w:val="zh-CN" w:eastAsia="zh-CN" w:bidi="zh-CN"/>
        </w:rPr>
      </w:pPr>
    </w:p>
    <w:p>
      <w:pPr>
        <w:pStyle w:val="6"/>
        <w:keepNext/>
        <w:keepLines/>
        <w:pageBreakBefore w:val="0"/>
        <w:shd w:val="clear" w:color="auto" w:fill="auto"/>
        <w:kinsoku/>
        <w:wordWrap w:val="0"/>
        <w:overflowPunct/>
        <w:topLinePunct w:val="0"/>
        <w:bidi w:val="0"/>
        <w:spacing w:before="0" w:beforeLines="0" w:after="0" w:afterLines="0"/>
        <w:jc w:val="left"/>
        <w:textAlignment w:val="auto"/>
        <w:rPr>
          <w:rFonts w:hint="eastAsia" w:ascii="宋体" w:hAnsi="宋体" w:eastAsia="宋体" w:cs="宋体"/>
          <w:color w:val="000000"/>
          <w:lang w:val="zh-CN" w:bidi="zh-CN"/>
        </w:rPr>
      </w:pPr>
    </w:p>
    <w:tbl>
      <w:tblPr>
        <w:tblStyle w:val="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120"/>
        <w:gridCol w:w="7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90" w:type="dxa"/>
            <w:gridSpan w:val="2"/>
            <w:noWrap w:val="0"/>
            <w:vAlign w:val="top"/>
          </w:tcPr>
          <w:p>
            <w:pPr>
              <w:pageBreakBefore w:val="0"/>
              <w:kinsoku/>
              <w:wordWrap w:val="0"/>
              <w:overflowPunct/>
              <w:topLinePunct w:val="0"/>
              <w:bidi w:val="0"/>
              <w:spacing w:line="360" w:lineRule="auto"/>
              <w:jc w:val="center"/>
              <w:textAlignment w:val="auto"/>
              <w:outlineLvl w:val="1"/>
              <w:rPr>
                <w:rFonts w:hint="eastAsia" w:ascii="宋体" w:hAnsi="宋体" w:cs="宋体"/>
                <w:b/>
                <w:color w:val="000000"/>
                <w:lang w:val="zh-CN" w:bidi="zh-CN"/>
              </w:rPr>
            </w:pPr>
            <w:r>
              <w:rPr>
                <w:rFonts w:hint="eastAsia" w:ascii="宋体" w:hAnsi="宋体" w:cs="宋体"/>
                <w:b/>
                <w:color w:val="000000"/>
                <w:lang w:bidi="zh-CN"/>
              </w:rPr>
              <w:t>条款号</w:t>
            </w:r>
          </w:p>
        </w:tc>
        <w:tc>
          <w:tcPr>
            <w:tcW w:w="7728" w:type="dxa"/>
            <w:noWrap w:val="0"/>
            <w:vAlign w:val="top"/>
          </w:tcPr>
          <w:p>
            <w:pPr>
              <w:pageBreakBefore w:val="0"/>
              <w:kinsoku/>
              <w:wordWrap w:val="0"/>
              <w:overflowPunct/>
              <w:topLinePunct w:val="0"/>
              <w:bidi w:val="0"/>
              <w:spacing w:line="360" w:lineRule="auto"/>
              <w:jc w:val="center"/>
              <w:textAlignment w:val="auto"/>
              <w:outlineLvl w:val="1"/>
              <w:rPr>
                <w:rFonts w:hint="eastAsia" w:ascii="宋体" w:hAnsi="宋体" w:cs="宋体"/>
                <w:b/>
                <w:color w:val="000000"/>
                <w:lang w:val="zh-CN" w:bidi="zh-CN"/>
              </w:rPr>
            </w:pPr>
            <w:r>
              <w:rPr>
                <w:rFonts w:hint="eastAsia" w:ascii="宋体" w:hAnsi="宋体" w:cs="宋体"/>
                <w:b/>
                <w:color w:val="000000"/>
                <w:lang w:val="zh-CN" w:bidi="zh-CN"/>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pPr>
              <w:pageBreakBefore w:val="0"/>
              <w:kinsoku/>
              <w:wordWrap w:val="0"/>
              <w:overflowPunct/>
              <w:topLinePunct w:val="0"/>
              <w:bidi w:val="0"/>
              <w:spacing w:line="360" w:lineRule="auto"/>
              <w:jc w:val="center"/>
              <w:textAlignment w:val="auto"/>
              <w:outlineLvl w:val="1"/>
              <w:rPr>
                <w:rFonts w:hint="eastAsia" w:ascii="宋体" w:hAnsi="宋体" w:cs="宋体"/>
                <w:color w:val="000000"/>
                <w:lang w:bidi="zh-CN"/>
              </w:rPr>
            </w:pPr>
            <w:r>
              <w:rPr>
                <w:rFonts w:hint="eastAsia" w:ascii="宋体" w:hAnsi="宋体" w:cs="宋体"/>
                <w:color w:val="000000"/>
                <w:lang w:bidi="zh-CN"/>
              </w:rPr>
              <w:t>2.1.2</w:t>
            </w:r>
          </w:p>
        </w:tc>
        <w:tc>
          <w:tcPr>
            <w:tcW w:w="1120" w:type="dxa"/>
            <w:noWrap w:val="0"/>
            <w:vAlign w:val="top"/>
          </w:tcPr>
          <w:p>
            <w:pPr>
              <w:pageBreakBefore w:val="0"/>
              <w:kinsoku/>
              <w:wordWrap w:val="0"/>
              <w:overflowPunct/>
              <w:topLinePunct w:val="0"/>
              <w:bidi w:val="0"/>
              <w:spacing w:line="360" w:lineRule="auto"/>
              <w:jc w:val="center"/>
              <w:textAlignment w:val="auto"/>
              <w:outlineLvl w:val="1"/>
              <w:rPr>
                <w:rFonts w:hint="eastAsia" w:ascii="宋体" w:hAnsi="宋体" w:cs="宋体"/>
                <w:color w:val="000000"/>
                <w:lang w:val="zh-CN" w:bidi="zh-CN"/>
              </w:rPr>
            </w:pPr>
            <w:r>
              <w:rPr>
                <w:rFonts w:hint="eastAsia" w:ascii="宋体" w:hAnsi="宋体" w:cs="宋体"/>
                <w:color w:val="000000"/>
                <w:lang w:val="zh-CN" w:bidi="zh-CN"/>
              </w:rPr>
              <w:t>资格评审标准</w:t>
            </w:r>
          </w:p>
        </w:tc>
        <w:tc>
          <w:tcPr>
            <w:tcW w:w="7728" w:type="dxa"/>
            <w:noWrap w:val="0"/>
            <w:vAlign w:val="top"/>
          </w:tcPr>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1</w:t>
            </w:r>
            <w:r>
              <w:rPr>
                <w:rFonts w:hint="eastAsia" w:ascii="宋体" w:hAnsi="宋体" w:cs="宋体"/>
                <w:color w:val="000000"/>
                <w:lang w:val="zh-CN" w:bidi="zh-CN"/>
              </w:rPr>
              <w:t>）</w:t>
            </w:r>
            <w:r>
              <w:rPr>
                <w:rFonts w:hint="eastAsia" w:ascii="宋体" w:hAnsi="宋体"/>
                <w:szCs w:val="21"/>
              </w:rPr>
              <w:t>投标人具备有效的营业执照、税务登记证（三证合一的单位不提供）组织机构代码证</w:t>
            </w:r>
            <w:r>
              <w:rPr>
                <w:rFonts w:ascii="宋体" w:hAnsi="宋体"/>
                <w:szCs w:val="21"/>
              </w:rPr>
              <w:t>（三证合一单位不提供）</w:t>
            </w:r>
            <w:r>
              <w:rPr>
                <w:rFonts w:hint="eastAsia" w:ascii="宋体" w:hAnsi="宋体"/>
                <w:szCs w:val="21"/>
              </w:rPr>
              <w:t>、资质证书、基本账户开户许可证。</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2</w:t>
            </w:r>
            <w:r>
              <w:rPr>
                <w:rFonts w:hint="eastAsia" w:ascii="宋体" w:hAnsi="宋体" w:cs="宋体"/>
                <w:color w:val="000000"/>
                <w:lang w:val="zh-CN" w:bidi="zh-CN"/>
              </w:rPr>
              <w:t>）投标人的资质等级符合招标文件</w:t>
            </w:r>
            <w:r>
              <w:rPr>
                <w:rFonts w:hint="eastAsia" w:ascii="宋体" w:hAnsi="宋体"/>
                <w:szCs w:val="21"/>
              </w:rPr>
              <w:t>规定</w:t>
            </w:r>
            <w:r>
              <w:rPr>
                <w:rFonts w:hint="eastAsia" w:ascii="宋体" w:hAnsi="宋体" w:cs="宋体"/>
                <w:color w:val="000000"/>
                <w:lang w:val="zh-CN" w:bidi="zh-CN"/>
              </w:rPr>
              <w:t>。</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3</w:t>
            </w:r>
            <w:r>
              <w:rPr>
                <w:rFonts w:hint="eastAsia" w:ascii="宋体" w:hAnsi="宋体" w:cs="宋体"/>
                <w:color w:val="000000"/>
                <w:lang w:val="zh-CN" w:bidi="zh-CN"/>
              </w:rPr>
              <w:t>）投标人的类似项目业绩符合招标文件</w:t>
            </w:r>
            <w:r>
              <w:rPr>
                <w:rFonts w:hint="eastAsia" w:ascii="宋体" w:hAnsi="宋体"/>
                <w:szCs w:val="21"/>
              </w:rPr>
              <w:t>规定</w:t>
            </w:r>
            <w:r>
              <w:rPr>
                <w:rFonts w:hint="eastAsia" w:ascii="宋体" w:hAnsi="宋体" w:cs="宋体"/>
                <w:color w:val="000000"/>
                <w:lang w:val="zh-CN" w:bidi="zh-CN"/>
              </w:rPr>
              <w:t>。</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4</w:t>
            </w:r>
            <w:r>
              <w:rPr>
                <w:rFonts w:hint="eastAsia" w:ascii="宋体" w:hAnsi="宋体" w:cs="宋体"/>
                <w:color w:val="000000"/>
                <w:lang w:val="zh-CN" w:bidi="zh-CN"/>
              </w:rPr>
              <w:t>）投标人的信誉符合招标文件规定。</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5</w:t>
            </w:r>
            <w:r>
              <w:rPr>
                <w:rFonts w:hint="eastAsia" w:ascii="宋体" w:hAnsi="宋体" w:cs="宋体"/>
                <w:color w:val="000000"/>
                <w:lang w:val="zh-CN" w:bidi="zh-CN"/>
              </w:rPr>
              <w:t>）投标人的总监理工程师或驻地监理工程师符合招标文件规定。</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6</w:t>
            </w:r>
            <w:r>
              <w:rPr>
                <w:rFonts w:hint="eastAsia" w:ascii="宋体" w:hAnsi="宋体" w:cs="宋体"/>
                <w:color w:val="000000"/>
                <w:lang w:val="zh-CN" w:bidi="zh-CN"/>
              </w:rPr>
              <w:t>）投标人的其他要求符合招标文件规定。</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7</w:t>
            </w:r>
            <w:r>
              <w:rPr>
                <w:rFonts w:hint="eastAsia" w:ascii="宋体" w:hAnsi="宋体" w:cs="宋体"/>
                <w:color w:val="000000"/>
                <w:lang w:val="zh-CN" w:bidi="zh-CN"/>
              </w:rPr>
              <w:t>）投标人不存在第二章“投标人须知”第1.4.3项或第1.4.4项规定的任何一种情形。</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w:t>
            </w:r>
            <w:r>
              <w:rPr>
                <w:rFonts w:hint="eastAsia" w:ascii="宋体" w:hAnsi="宋体" w:cs="宋体"/>
                <w:color w:val="000000"/>
                <w:lang w:bidi="zh-CN"/>
              </w:rPr>
              <w:t>8</w:t>
            </w:r>
            <w:r>
              <w:rPr>
                <w:rFonts w:hint="eastAsia" w:ascii="宋体" w:hAnsi="宋体" w:cs="宋体"/>
                <w:color w:val="000000"/>
                <w:lang w:val="zh-CN" w:bidi="zh-CN"/>
              </w:rPr>
              <w:t>）投标人符合第二章“投标人须知”第1.4.5项规定。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pPr>
              <w:pageBreakBefore w:val="0"/>
              <w:kinsoku/>
              <w:wordWrap w:val="0"/>
              <w:overflowPunct/>
              <w:topLinePunct w:val="0"/>
              <w:bidi w:val="0"/>
              <w:spacing w:line="360" w:lineRule="auto"/>
              <w:jc w:val="center"/>
              <w:textAlignment w:val="auto"/>
              <w:outlineLvl w:val="1"/>
              <w:rPr>
                <w:rFonts w:hint="eastAsia" w:ascii="宋体" w:hAnsi="宋体" w:cs="宋体"/>
                <w:color w:val="000000"/>
                <w:lang w:bidi="zh-CN"/>
              </w:rPr>
            </w:pPr>
            <w:r>
              <w:rPr>
                <w:rFonts w:hint="eastAsia" w:ascii="宋体" w:hAnsi="宋体" w:cs="宋体"/>
                <w:color w:val="000000"/>
                <w:lang w:bidi="zh-CN"/>
              </w:rPr>
              <w:t>2.2.1</w:t>
            </w:r>
          </w:p>
        </w:tc>
        <w:tc>
          <w:tcPr>
            <w:tcW w:w="1120" w:type="dxa"/>
            <w:noWrap w:val="0"/>
            <w:vAlign w:val="top"/>
          </w:tcPr>
          <w:p>
            <w:pPr>
              <w:pageBreakBefore w:val="0"/>
              <w:kinsoku/>
              <w:wordWrap w:val="0"/>
              <w:overflowPunct/>
              <w:topLinePunct w:val="0"/>
              <w:bidi w:val="0"/>
              <w:spacing w:line="360" w:lineRule="auto"/>
              <w:jc w:val="center"/>
              <w:textAlignment w:val="auto"/>
              <w:outlineLvl w:val="1"/>
              <w:rPr>
                <w:rFonts w:hint="eastAsia" w:ascii="宋体" w:hAnsi="宋体" w:cs="宋体"/>
                <w:color w:val="000000"/>
                <w:lang w:bidi="zh-CN"/>
              </w:rPr>
            </w:pPr>
            <w:r>
              <w:rPr>
                <w:rFonts w:hint="eastAsia" w:ascii="宋体" w:hAnsi="宋体" w:cs="宋体"/>
                <w:color w:val="000000"/>
                <w:lang w:bidi="zh-CN"/>
              </w:rPr>
              <w:t>分值构成（100分）</w:t>
            </w:r>
          </w:p>
        </w:tc>
        <w:tc>
          <w:tcPr>
            <w:tcW w:w="7728" w:type="dxa"/>
            <w:noWrap w:val="0"/>
            <w:vAlign w:val="top"/>
          </w:tcPr>
          <w:p>
            <w:pPr>
              <w:pageBreakBefore w:val="0"/>
              <w:kinsoku/>
              <w:wordWrap w:val="0"/>
              <w:overflowPunct/>
              <w:topLinePunct w:val="0"/>
              <w:bidi w:val="0"/>
              <w:spacing w:line="360" w:lineRule="auto"/>
              <w:ind w:firstLine="422" w:firstLineChars="200"/>
              <w:jc w:val="left"/>
              <w:textAlignment w:val="auto"/>
              <w:outlineLvl w:val="1"/>
              <w:rPr>
                <w:rFonts w:hint="eastAsia" w:ascii="宋体" w:hAnsi="宋体" w:cs="宋体"/>
                <w:b/>
                <w:bCs/>
                <w:color w:val="000000"/>
                <w:lang w:val="zh-CN" w:bidi="zh-CN"/>
              </w:rPr>
            </w:pPr>
            <w:r>
              <w:rPr>
                <w:rFonts w:hint="eastAsia" w:ascii="宋体" w:hAnsi="宋体" w:cs="宋体"/>
                <w:b/>
                <w:bCs/>
                <w:color w:val="000000"/>
                <w:lang w:val="zh-CN" w:bidi="zh-CN"/>
              </w:rPr>
              <w:t>第一个信封（商务及技术文件）评分分值构成：</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技术建议书：</w:t>
            </w:r>
            <w:r>
              <w:rPr>
                <w:rFonts w:hint="eastAsia" w:ascii="宋体" w:hAnsi="宋体" w:cs="宋体"/>
                <w:color w:val="000000"/>
                <w:u w:val="single"/>
                <w:lang w:val="en-US" w:bidi="zh-CN"/>
              </w:rPr>
              <w:t>35</w:t>
            </w:r>
            <w:r>
              <w:rPr>
                <w:rFonts w:hint="eastAsia" w:ascii="宋体" w:hAnsi="宋体" w:cs="宋体"/>
                <w:color w:val="000000"/>
                <w:lang w:val="zh-CN" w:bidi="zh-CN"/>
              </w:rPr>
              <w:t>分</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主要人员：</w:t>
            </w:r>
            <w:r>
              <w:rPr>
                <w:rFonts w:hint="eastAsia" w:ascii="宋体" w:hAnsi="宋体" w:cs="宋体"/>
                <w:color w:val="000000"/>
                <w:u w:val="single"/>
                <w:lang w:val="en-US" w:bidi="zh-CN"/>
              </w:rPr>
              <w:t>25</w:t>
            </w:r>
            <w:r>
              <w:rPr>
                <w:rFonts w:hint="eastAsia" w:ascii="宋体" w:hAnsi="宋体" w:cs="宋体"/>
                <w:color w:val="000000"/>
                <w:lang w:val="zh-CN" w:bidi="zh-CN"/>
              </w:rPr>
              <w:t>分</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业绩：</w:t>
            </w:r>
            <w:r>
              <w:rPr>
                <w:rFonts w:hint="eastAsia" w:ascii="宋体" w:hAnsi="宋体" w:cs="宋体"/>
                <w:color w:val="000000"/>
                <w:u w:val="single"/>
                <w:lang w:val="en-US" w:bidi="zh-CN"/>
              </w:rPr>
              <w:t>20</w:t>
            </w:r>
            <w:r>
              <w:rPr>
                <w:rFonts w:hint="eastAsia" w:ascii="宋体" w:hAnsi="宋体" w:cs="宋体"/>
                <w:color w:val="000000"/>
                <w:lang w:val="zh-CN" w:bidi="zh-CN"/>
              </w:rPr>
              <w:t>分</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履约信誉：</w:t>
            </w:r>
            <w:r>
              <w:rPr>
                <w:rFonts w:hint="eastAsia" w:ascii="宋体" w:hAnsi="宋体" w:cs="宋体"/>
                <w:color w:val="000000"/>
                <w:u w:val="single"/>
                <w:lang w:val="en-US" w:bidi="zh-CN"/>
              </w:rPr>
              <w:t>10</w:t>
            </w:r>
            <w:r>
              <w:rPr>
                <w:rFonts w:hint="eastAsia" w:ascii="宋体" w:hAnsi="宋体" w:cs="宋体"/>
                <w:color w:val="000000"/>
                <w:lang w:val="zh-CN" w:bidi="zh-CN"/>
              </w:rPr>
              <w:t>分</w:t>
            </w:r>
          </w:p>
          <w:p>
            <w:pPr>
              <w:pageBreakBefore w:val="0"/>
              <w:kinsoku/>
              <w:wordWrap w:val="0"/>
              <w:overflowPunct/>
              <w:topLinePunct w:val="0"/>
              <w:bidi w:val="0"/>
              <w:spacing w:line="360" w:lineRule="auto"/>
              <w:ind w:firstLine="422" w:firstLineChars="200"/>
              <w:jc w:val="left"/>
              <w:textAlignment w:val="auto"/>
              <w:outlineLvl w:val="1"/>
              <w:rPr>
                <w:rFonts w:hint="eastAsia" w:ascii="宋体" w:hAnsi="宋体" w:cs="宋体"/>
                <w:b/>
                <w:bCs/>
                <w:color w:val="000000"/>
                <w:lang w:val="zh-CN" w:bidi="zh-CN"/>
              </w:rPr>
            </w:pPr>
            <w:r>
              <w:rPr>
                <w:rFonts w:hint="eastAsia" w:ascii="宋体" w:hAnsi="宋体" w:cs="宋体"/>
                <w:b/>
                <w:bCs/>
                <w:color w:val="000000"/>
                <w:lang w:val="zh-CN" w:bidi="zh-CN"/>
              </w:rPr>
              <w:t>第二个信封（报价文件）评分分值构成：</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评标价:</w:t>
            </w:r>
            <w:r>
              <w:rPr>
                <w:rFonts w:hint="eastAsia" w:ascii="宋体" w:hAnsi="宋体" w:cs="宋体"/>
                <w:color w:val="000000"/>
                <w:u w:val="single"/>
                <w:lang w:val="zh-CN" w:bidi="zh-CN"/>
              </w:rPr>
              <w:tab/>
            </w:r>
            <w:r>
              <w:rPr>
                <w:rFonts w:hint="eastAsia" w:ascii="宋体" w:hAnsi="宋体" w:cs="宋体"/>
                <w:color w:val="000000"/>
                <w:u w:val="single"/>
                <w:lang w:bidi="zh-CN"/>
              </w:rPr>
              <w:t>10</w:t>
            </w:r>
            <w:r>
              <w:rPr>
                <w:rFonts w:hint="eastAsia" w:ascii="宋体" w:hAnsi="宋体" w:cs="宋体"/>
                <w:color w:val="000000"/>
                <w:lang w:val="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pPr>
              <w:pageBreakBefore w:val="0"/>
              <w:kinsoku/>
              <w:wordWrap w:val="0"/>
              <w:overflowPunct/>
              <w:topLinePunct w:val="0"/>
              <w:bidi w:val="0"/>
              <w:spacing w:line="360" w:lineRule="auto"/>
              <w:jc w:val="center"/>
              <w:textAlignment w:val="auto"/>
              <w:outlineLvl w:val="1"/>
              <w:rPr>
                <w:rFonts w:hint="eastAsia" w:ascii="宋体" w:hAnsi="宋体" w:cs="宋体"/>
                <w:color w:val="000000"/>
                <w:lang w:bidi="zh-CN"/>
              </w:rPr>
            </w:pPr>
            <w:r>
              <w:rPr>
                <w:rFonts w:hint="eastAsia" w:ascii="宋体" w:hAnsi="宋体" w:cs="宋体"/>
                <w:color w:val="000000"/>
                <w:lang w:bidi="zh-CN"/>
              </w:rPr>
              <w:t>2.2.2</w:t>
            </w:r>
          </w:p>
        </w:tc>
        <w:tc>
          <w:tcPr>
            <w:tcW w:w="1120" w:type="dxa"/>
            <w:noWrap w:val="0"/>
            <w:vAlign w:val="top"/>
          </w:tcPr>
          <w:p>
            <w:pPr>
              <w:pageBreakBefore w:val="0"/>
              <w:kinsoku/>
              <w:wordWrap w:val="0"/>
              <w:overflowPunct/>
              <w:topLinePunct w:val="0"/>
              <w:bidi w:val="0"/>
              <w:spacing w:line="360" w:lineRule="auto"/>
              <w:jc w:val="center"/>
              <w:textAlignment w:val="auto"/>
              <w:outlineLvl w:val="1"/>
              <w:rPr>
                <w:rFonts w:hint="eastAsia" w:ascii="宋体" w:hAnsi="宋体" w:cs="宋体"/>
                <w:color w:val="000000"/>
                <w:lang w:val="zh-CN" w:bidi="zh-CN"/>
              </w:rPr>
            </w:pPr>
            <w:r>
              <w:rPr>
                <w:rFonts w:hint="eastAsia" w:ascii="宋体" w:hAnsi="宋体" w:cs="宋体"/>
                <w:color w:val="000000"/>
                <w:lang w:val="zh-CN" w:bidi="zh-CN"/>
              </w:rPr>
              <w:t>评标基准价计算方法</w:t>
            </w:r>
          </w:p>
        </w:tc>
        <w:tc>
          <w:tcPr>
            <w:tcW w:w="7728" w:type="dxa"/>
            <w:noWrap w:val="0"/>
            <w:vAlign w:val="top"/>
          </w:tcPr>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评标基准价的计算：</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在第二个信封开标现场，招标人将按照开标现场抽取的评标基准价的计算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方法当场计算并宣布评标基准价。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（1）评标价的确定：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评标价=投标函文字报价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（2）评标价平均值的计算：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除按第二章“投标人须知”第 5.2.4 项规定开标现场被宣布为不进入评标基准价计算的投标报价之外，所有投标人的评标价的算术平均值即为评标价平均值。</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（3）评标基准价的计算：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所有投标人的评标价按照抽取的评标基准价计算方法计算评标基准价（评标基准价保留小数点后两位，小数点后第三位四舍五入）。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本次招标共设置以下三种评标基准价计算方法，在开标现场随机确定一种评标基准价计算方法，作为本次评标的评标基准价计算方法。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1．方法 1：评标价的平均值，乘以评标基准价系数 K 作为评标基准价 P。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K 为开标现场随机确定的随机调节系数，取值范围为 0.980、0.985、0.990、</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0.995、1.000。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2.方法 2：评标基准价 P=最高投标限价×K+评标价的平均值×（1-K）。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K 为开标现场随机确定的最高投标限价所占比例系数，取值范围为 0.10、0.15、0.20、0.25、0.30。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3．方法 3：评标价去掉 n1 个最高评标价和 n2 个最低评标价后平均值直接作为评标基准价 P。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N 为评标价的个数；n1、n2 的取值：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当 N﹤6 时，n1、n2 均取 0；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当 6≦N＜10 时，n1、n2 均取 1；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 xml:space="preserve">当 10≦N＜20 时，n1、n2 均取 2；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当 20≦N＜30 时，n1、n2 均取 4；</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30≦N＜50 时，n1、n2 均取 6；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当 50≦N＜70 时，n1、n2 均取 8；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当 70≦N＜100 时，n1、n2 均取 10；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当 N＞100 时，n1、n2 均取 12。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eastAsia="zh-CN" w:bidi="zh-CN"/>
              </w:rPr>
            </w:pPr>
            <w:r>
              <w:rPr>
                <w:rFonts w:hint="eastAsia" w:ascii="宋体" w:hAnsi="宋体" w:cs="宋体"/>
                <w:color w:val="000000"/>
                <w:lang w:val="zh-CN" w:eastAsia="zh-CN" w:bidi="zh-CN"/>
              </w:rPr>
              <w:t xml:space="preserve">在评标过程中，评标委员会应对招标人计算的评标基准价进行复核，存在计算错误的应予以修正并在评标报告中作出说明。除此之外，评标基准价在整个评标期间保持不变，不随任何因素发生变化。 </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eastAsia="zh-CN" w:bidi="zh-CN"/>
              </w:rPr>
              <w:t>当所有投标价都高于招标人投标控制价上限时，招标人将重新招标。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pPr>
              <w:pageBreakBefore w:val="0"/>
              <w:kinsoku/>
              <w:wordWrap w:val="0"/>
              <w:overflowPunct/>
              <w:topLinePunct w:val="0"/>
              <w:bidi w:val="0"/>
              <w:spacing w:line="360" w:lineRule="auto"/>
              <w:jc w:val="center"/>
              <w:textAlignment w:val="auto"/>
              <w:outlineLvl w:val="1"/>
              <w:rPr>
                <w:rFonts w:hint="eastAsia" w:ascii="宋体" w:hAnsi="宋体" w:cs="宋体"/>
                <w:color w:val="000000"/>
                <w:lang w:bidi="zh-CN"/>
              </w:rPr>
            </w:pPr>
            <w:r>
              <w:rPr>
                <w:rFonts w:hint="eastAsia" w:ascii="宋体" w:hAnsi="宋体" w:cs="宋体"/>
                <w:color w:val="000000"/>
                <w:lang w:bidi="zh-CN"/>
              </w:rPr>
              <w:t>2.2.3</w:t>
            </w:r>
          </w:p>
        </w:tc>
        <w:tc>
          <w:tcPr>
            <w:tcW w:w="1120" w:type="dxa"/>
            <w:noWrap w:val="0"/>
            <w:vAlign w:val="top"/>
          </w:tcPr>
          <w:p>
            <w:pPr>
              <w:pageBreakBefore w:val="0"/>
              <w:kinsoku/>
              <w:wordWrap w:val="0"/>
              <w:overflowPunct/>
              <w:topLinePunct w:val="0"/>
              <w:bidi w:val="0"/>
              <w:spacing w:line="360" w:lineRule="auto"/>
              <w:jc w:val="center"/>
              <w:textAlignment w:val="auto"/>
              <w:outlineLvl w:val="1"/>
              <w:rPr>
                <w:rFonts w:hint="eastAsia" w:ascii="宋体" w:hAnsi="宋体" w:cs="宋体"/>
                <w:color w:val="000000"/>
                <w:lang w:val="zh-CN" w:bidi="zh-CN"/>
              </w:rPr>
            </w:pPr>
            <w:r>
              <w:rPr>
                <w:rFonts w:hint="eastAsia" w:ascii="宋体" w:hAnsi="宋体" w:cs="宋体"/>
                <w:color w:val="000000"/>
                <w:lang w:val="zh-CN" w:bidi="zh-CN"/>
              </w:rPr>
              <w:t>评标价的偏差率计算公式</w:t>
            </w:r>
          </w:p>
        </w:tc>
        <w:tc>
          <w:tcPr>
            <w:tcW w:w="7728" w:type="dxa"/>
            <w:noWrap w:val="0"/>
            <w:vAlign w:val="center"/>
          </w:tcPr>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偏差率=100% x （投标人评标价一评标基准价）/评标基准价</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color w:val="000000"/>
                <w:lang w:val="zh-CN" w:bidi="zh-CN"/>
              </w:rPr>
            </w:pPr>
            <w:r>
              <w:rPr>
                <w:rFonts w:hint="eastAsia" w:ascii="宋体" w:hAnsi="宋体" w:cs="宋体"/>
                <w:color w:val="000000"/>
                <w:lang w:val="zh-CN" w:bidi="zh-CN"/>
              </w:rPr>
              <w:t>偏差率保留</w:t>
            </w:r>
            <w:r>
              <w:rPr>
                <w:rFonts w:hint="eastAsia" w:ascii="宋体" w:hAnsi="宋体" w:cs="宋体"/>
                <w:color w:val="000000"/>
                <w:lang w:bidi="zh-CN"/>
              </w:rPr>
              <w:t>2</w:t>
            </w:r>
            <w:r>
              <w:rPr>
                <w:rFonts w:hint="eastAsia" w:ascii="宋体" w:hAnsi="宋体" w:cs="宋体"/>
                <w:color w:val="000000"/>
                <w:lang w:val="zh-CN" w:bidi="zh-CN"/>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870" w:type="dxa"/>
            <w:noWrap w:val="0"/>
            <w:vAlign w:val="center"/>
          </w:tcPr>
          <w:p>
            <w:pPr>
              <w:pageBreakBefore w:val="0"/>
              <w:kinsoku/>
              <w:wordWrap w:val="0"/>
              <w:overflowPunct/>
              <w:topLinePunct w:val="0"/>
              <w:bidi w:val="0"/>
              <w:adjustRightInd w:val="0"/>
              <w:snapToGrid w:val="0"/>
              <w:spacing w:line="300" w:lineRule="exact"/>
              <w:jc w:val="center"/>
              <w:textAlignment w:val="auto"/>
              <w:rPr>
                <w:rFonts w:hint="eastAsia" w:ascii="宋体" w:hAnsi="宋体"/>
              </w:rPr>
            </w:pPr>
            <w:r>
              <w:rPr>
                <w:rFonts w:hint="eastAsia" w:ascii="宋体" w:hAnsi="宋体"/>
                <w:lang w:val="en-US" w:eastAsia="zh-CN"/>
              </w:rPr>
              <w:t>3.6.1</w:t>
            </w:r>
            <w:r>
              <w:rPr>
                <w:rFonts w:hint="eastAsia" w:ascii="宋体" w:hAnsi="宋体"/>
              </w:rPr>
              <w:t xml:space="preserve">  </w:t>
            </w:r>
          </w:p>
        </w:tc>
        <w:tc>
          <w:tcPr>
            <w:tcW w:w="1120" w:type="dxa"/>
            <w:noWrap w:val="0"/>
            <w:vAlign w:val="center"/>
          </w:tcPr>
          <w:p>
            <w:pPr>
              <w:pageBreakBefore w:val="0"/>
              <w:kinsoku/>
              <w:wordWrap w:val="0"/>
              <w:overflowPunct/>
              <w:topLinePunct w:val="0"/>
              <w:bidi w:val="0"/>
              <w:adjustRightInd w:val="0"/>
              <w:snapToGrid w:val="0"/>
              <w:spacing w:line="300" w:lineRule="exact"/>
              <w:jc w:val="both"/>
              <w:textAlignment w:val="auto"/>
              <w:rPr>
                <w:rFonts w:hint="eastAsia" w:ascii="宋体" w:hAnsi="宋体"/>
              </w:rPr>
            </w:pPr>
            <w:r>
              <w:rPr>
                <w:rFonts w:hint="eastAsia" w:ascii="宋体" w:hAnsi="宋体"/>
                <w:lang w:val="en-US" w:eastAsia="zh-CN"/>
              </w:rPr>
              <w:t>投标文件相关信息核查</w:t>
            </w:r>
          </w:p>
        </w:tc>
        <w:tc>
          <w:tcPr>
            <w:tcW w:w="7728" w:type="dxa"/>
            <w:noWrap w:val="0"/>
            <w:vAlign w:val="center"/>
          </w:tcPr>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在评标过程中，评标委员会应对以下信息进行查询：</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en-US" w:eastAsia="zh-CN" w:bidi="zh-CN"/>
              </w:rPr>
            </w:pPr>
            <w:r>
              <w:rPr>
                <w:rFonts w:hint="eastAsia" w:ascii="宋体" w:hAnsi="宋体" w:eastAsia="宋体" w:cs="宋体"/>
                <w:color w:val="000000"/>
                <w:lang w:val="en-US" w:eastAsia="zh-CN" w:bidi="zh-CN"/>
              </w:rPr>
              <w:t>投标人名称和资质与“全国公路建设市场信用信息管理系统（http://glxy.mot.gov.cn/）”的复核结果一致；</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如投标人未提供相关网页截图或相关网页截图中的信息无法证实投标人满足招标文件规定的资格审查条件（资质最低要求）或网页截图与“全国公路建设市场信用信息管理系统（http://glxy.mot.gov.cn）”的核查结果不一致，则相关资质不予认定。</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（2）投标人的类似项目业绩符合招标文件规定，所附相关项目详细信息网页截图与“全国公路建设市场信用信息管理系统（http://glxy.mot.gov.cn/）”的复核结果一致，并满足招标文件资格审查条件要求；</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如投标人未提供相关网页截图或相关网页截图中的信息无法证实投标人满足招标文件规定的资格审查条件（业绩最低要求）或网页截图与“全国公路建设市场信用信息管理系统（http://glxy.mot.gov.cn）”的核查结果不一致，则相关业绩不予认定。</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3）所附总监理工程师的监理工程师执业资格信息和相关业绩符合招标文件规定，所附网页截图与“全国公路建设市场信用信息管理系统（http://glxy.mot.gov.cn/）”的复核结果一致，并满足招标文件资格审查条件要求；</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如投标人未提供相关网页截图或相关网页截图中的信息无法证实投标人满足招标文件规定的资格审查条件（总监理工程师最低要求）或网页截图与“全国公路建设市场信用信息管理系统（http://glxy.mot.gov.cn）”的核查结果不一致，则相关执业资格信息或业绩不予认定。</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4）评标委员会评标时应对投标人的信用情况在“国家企业信用信息公示系统（http://www.gsxt.gov.cn/)”进行查询，若投标人存在被列入“严重违法失信企业名单”情形的（不含分公司），评标委员会应否决其投标；</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评标委员会评标时还应对投标人的信用情况在“信用中国网站（http://www.creditchina.gov.cn/)”进行查询，若投标人存在被列入“失信被执行人名单、企业经营异常情况名录、重大税收违法案件当事人名单、政府采购严重违法失信名单”情形的（均不含分公司），评标委员会应否决其投标。</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如投标人未提供相关网页截图或所附截图与核查结果不一致，评标委员会应否决其投标。</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rPr>
            </w:pPr>
            <w:r>
              <w:rPr>
                <w:rFonts w:hint="eastAsia" w:ascii="宋体" w:hAnsi="宋体" w:eastAsia="宋体" w:cs="宋体"/>
                <w:color w:val="000000"/>
                <w:lang w:val="en-US" w:eastAsia="zh-CN" w:bidi="zh-CN"/>
              </w:rPr>
              <w:t>投标人应保证上述全部截图的真实性，如发现核查结果不一致则视为相关截图弄虚作假。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处理结果同时报相应政府网站管理部门。</w:t>
            </w:r>
          </w:p>
        </w:tc>
      </w:tr>
    </w:tbl>
    <w:p>
      <w:pPr>
        <w:pageBreakBefore w:val="0"/>
        <w:kinsoku/>
        <w:wordWrap w:val="0"/>
        <w:overflowPunct/>
        <w:topLinePunct w:val="0"/>
        <w:bidi w:val="0"/>
        <w:spacing w:line="360" w:lineRule="auto"/>
        <w:jc w:val="center"/>
        <w:textAlignment w:val="auto"/>
        <w:outlineLvl w:val="1"/>
        <w:rPr>
          <w:rFonts w:hint="eastAsia" w:ascii="宋体" w:hAnsi="宋体" w:cs="宋体"/>
          <w:color w:val="000000"/>
          <w:lang w:val="zh-CN" w:bidi="zh-CN"/>
        </w:rPr>
      </w:pPr>
    </w:p>
    <w:p>
      <w:pPr>
        <w:pageBreakBefore w:val="0"/>
        <w:kinsoku/>
        <w:wordWrap w:val="0"/>
        <w:overflowPunct/>
        <w:topLinePunct w:val="0"/>
        <w:bidi w:val="0"/>
        <w:spacing w:line="360" w:lineRule="auto"/>
        <w:jc w:val="right"/>
        <w:textAlignment w:val="auto"/>
        <w:outlineLvl w:val="1"/>
        <w:rPr>
          <w:rFonts w:hint="eastAsia" w:ascii="宋体" w:hAnsi="宋体" w:cs="宋体"/>
          <w:b/>
          <w:bCs/>
          <w:color w:val="000000"/>
          <w:lang w:val="en-US" w:bidi="zh-CN"/>
        </w:rPr>
      </w:pPr>
      <w:r>
        <w:rPr>
          <w:rFonts w:hint="eastAsia" w:ascii="宋体" w:hAnsi="宋体" w:cs="宋体"/>
          <w:b/>
          <w:bCs/>
          <w:color w:val="000000"/>
          <w:lang w:val="en-US" w:bidi="zh-CN"/>
        </w:rPr>
        <w:t>续上表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681"/>
        <w:gridCol w:w="1175"/>
        <w:gridCol w:w="685"/>
        <w:gridCol w:w="1186"/>
        <w:gridCol w:w="666"/>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6" w:type="dxa"/>
            <w:gridSpan w:val="7"/>
            <w:noWrap w:val="0"/>
            <w:vAlign w:val="top"/>
          </w:tcPr>
          <w:p>
            <w:pPr>
              <w:pageBreakBefore w:val="0"/>
              <w:kinsoku/>
              <w:wordWrap w:val="0"/>
              <w:overflowPunct/>
              <w:topLinePunct w:val="0"/>
              <w:bidi w:val="0"/>
              <w:spacing w:line="360" w:lineRule="auto"/>
              <w:jc w:val="center"/>
              <w:textAlignment w:val="auto"/>
              <w:outlineLvl w:val="1"/>
              <w:rPr>
                <w:rFonts w:hint="eastAsia" w:ascii="宋体" w:hAnsi="宋体" w:cs="宋体"/>
                <w:b/>
                <w:bCs/>
                <w:color w:val="000000"/>
                <w:vertAlign w:val="baseline"/>
                <w:lang w:val="en-US" w:bidi="zh-CN"/>
              </w:rPr>
            </w:pPr>
            <w:r>
              <w:rPr>
                <w:rFonts w:hint="eastAsia" w:ascii="宋体" w:hAnsi="宋体" w:cs="宋体"/>
                <w:b/>
                <w:bCs/>
                <w:color w:val="000000"/>
                <w:vertAlign w:val="baseline"/>
                <w:lang w:val="en-US" w:bidi="zh-CN"/>
              </w:rPr>
              <w:t>评分因素和权重分值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cs="宋体"/>
                <w:b/>
                <w:bCs/>
                <w:color w:val="000000"/>
                <w:vertAlign w:val="baseline"/>
                <w:lang w:val="zh-CN" w:bidi="zh-CN"/>
              </w:rPr>
            </w:pPr>
            <w:r>
              <w:rPr>
                <w:rFonts w:hint="eastAsia" w:ascii="宋体" w:hAnsi="宋体" w:cs="宋体"/>
                <w:b/>
                <w:bCs/>
                <w:color w:val="000000"/>
                <w:vertAlign w:val="baseline"/>
                <w:lang w:val="zh-CN" w:eastAsia="zh-CN" w:bidi="zh-CN"/>
              </w:rPr>
              <w:t>条款号</w:t>
            </w:r>
          </w:p>
        </w:tc>
        <w:tc>
          <w:tcPr>
            <w:tcW w:w="681" w:type="dxa"/>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cs="宋体"/>
                <w:b/>
                <w:bCs/>
                <w:color w:val="000000"/>
                <w:vertAlign w:val="baseline"/>
                <w:lang w:val="zh-CN" w:bidi="zh-CN"/>
              </w:rPr>
            </w:pPr>
            <w:r>
              <w:rPr>
                <w:rFonts w:hint="eastAsia" w:ascii="宋体" w:hAnsi="宋体" w:cs="宋体"/>
                <w:b/>
                <w:bCs/>
                <w:color w:val="000000"/>
                <w:vertAlign w:val="baseline"/>
                <w:lang w:val="zh-CN" w:eastAsia="zh-CN" w:bidi="zh-CN"/>
              </w:rPr>
              <w:t>评审因素</w:t>
            </w:r>
          </w:p>
        </w:tc>
        <w:tc>
          <w:tcPr>
            <w:tcW w:w="1175" w:type="dxa"/>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cs="宋体"/>
                <w:b/>
                <w:bCs/>
                <w:color w:val="000000"/>
                <w:vertAlign w:val="baseline"/>
                <w:lang w:val="zh-CN" w:bidi="zh-CN"/>
              </w:rPr>
            </w:pPr>
            <w:r>
              <w:rPr>
                <w:rFonts w:hint="eastAsia" w:ascii="宋体" w:hAnsi="宋体" w:cs="宋体"/>
                <w:b/>
                <w:bCs/>
                <w:color w:val="000000"/>
                <w:vertAlign w:val="baseline"/>
                <w:lang w:val="zh-CN" w:eastAsia="zh-CN" w:bidi="zh-CN"/>
              </w:rPr>
              <w:t>评分因素权重分值</w:t>
            </w:r>
          </w:p>
        </w:tc>
        <w:tc>
          <w:tcPr>
            <w:tcW w:w="1871" w:type="dxa"/>
            <w:gridSpan w:val="2"/>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cs="宋体"/>
                <w:b/>
                <w:bCs/>
                <w:color w:val="000000"/>
                <w:vertAlign w:val="baseline"/>
                <w:lang w:val="zh-CN" w:bidi="zh-CN"/>
              </w:rPr>
            </w:pPr>
            <w:r>
              <w:rPr>
                <w:rFonts w:hint="eastAsia" w:ascii="宋体" w:hAnsi="宋体" w:cs="宋体"/>
                <w:b/>
                <w:bCs/>
                <w:color w:val="000000"/>
                <w:vertAlign w:val="baseline"/>
                <w:lang w:val="zh-CN" w:eastAsia="zh-CN" w:bidi="zh-CN"/>
              </w:rPr>
              <w:t>各评分因素细分项</w:t>
            </w:r>
          </w:p>
        </w:tc>
        <w:tc>
          <w:tcPr>
            <w:tcW w:w="666" w:type="dxa"/>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cs="宋体"/>
                <w:b/>
                <w:bCs/>
                <w:color w:val="000000"/>
                <w:vertAlign w:val="baseline"/>
                <w:lang w:val="zh-CN" w:bidi="zh-CN"/>
              </w:rPr>
            </w:pPr>
            <w:r>
              <w:rPr>
                <w:rFonts w:hint="eastAsia" w:ascii="宋体" w:hAnsi="宋体" w:cs="宋体"/>
                <w:b/>
                <w:bCs/>
                <w:color w:val="000000"/>
                <w:vertAlign w:val="baseline"/>
                <w:lang w:val="zh-CN" w:eastAsia="zh-CN" w:bidi="zh-CN"/>
              </w:rPr>
              <w:t>分值</w:t>
            </w:r>
          </w:p>
        </w:tc>
        <w:tc>
          <w:tcPr>
            <w:tcW w:w="4814" w:type="dxa"/>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cs="宋体"/>
                <w:b/>
                <w:bCs/>
                <w:color w:val="000000"/>
                <w:vertAlign w:val="baseline"/>
                <w:lang w:val="zh-CN" w:bidi="zh-CN"/>
              </w:rPr>
            </w:pPr>
            <w:r>
              <w:rPr>
                <w:rFonts w:hint="eastAsia" w:ascii="宋体" w:hAnsi="宋体" w:cs="宋体"/>
                <w:b/>
                <w:bCs/>
                <w:color w:val="000000"/>
                <w:vertAlign w:val="baseline"/>
                <w:lang w:val="zh-CN" w:eastAsia="zh-CN" w:bidi="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noWrap w:val="0"/>
            <w:vAlign w:val="center"/>
          </w:tcPr>
          <w:p>
            <w:pPr>
              <w:pageBreakBefore w:val="0"/>
              <w:kinsoku/>
              <w:wordWrap w:val="0"/>
              <w:overflowPunct/>
              <w:topLinePunct w:val="0"/>
              <w:bidi w:val="0"/>
              <w:spacing w:line="360" w:lineRule="auto"/>
              <w:jc w:val="both"/>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2.2.4</w:t>
            </w:r>
          </w:p>
          <w:p>
            <w:pPr>
              <w:pageBreakBefore w:val="0"/>
              <w:kinsoku/>
              <w:wordWrap w:val="0"/>
              <w:overflowPunct/>
              <w:topLinePunct w:val="0"/>
              <w:bidi w:val="0"/>
              <w:spacing w:line="360" w:lineRule="auto"/>
              <w:jc w:val="both"/>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（1</w:t>
            </w:r>
            <w:r>
              <w:rPr>
                <w:rFonts w:hint="eastAsia" w:ascii="宋体" w:hAnsi="宋体" w:eastAsia="宋体" w:cs="宋体"/>
                <w:color w:val="000000"/>
                <w:lang w:val="zh-CN" w:eastAsia="zh-CN" w:bidi="zh-CN"/>
              </w:rPr>
              <w:t>）</w:t>
            </w:r>
          </w:p>
        </w:tc>
        <w:tc>
          <w:tcPr>
            <w:tcW w:w="681" w:type="dxa"/>
            <w:vMerge w:val="restart"/>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技术建议书</w:t>
            </w:r>
          </w:p>
        </w:tc>
        <w:tc>
          <w:tcPr>
            <w:tcW w:w="1175" w:type="dxa"/>
            <w:vMerge w:val="restart"/>
            <w:noWrap w:val="0"/>
            <w:vAlign w:val="center"/>
          </w:tcPr>
          <w:p>
            <w:pPr>
              <w:pageBreakBefore w:val="0"/>
              <w:kinsoku/>
              <w:wordWrap w:val="0"/>
              <w:overflowPunct/>
              <w:topLinePunct w:val="0"/>
              <w:bidi w:val="0"/>
              <w:spacing w:line="360" w:lineRule="auto"/>
              <w:jc w:val="center"/>
              <w:textAlignment w:val="auto"/>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35分</w:t>
            </w:r>
          </w:p>
        </w:tc>
        <w:tc>
          <w:tcPr>
            <w:tcW w:w="685" w:type="dxa"/>
            <w:vMerge w:val="restart"/>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监理大纲和措施</w:t>
            </w:r>
          </w:p>
        </w:tc>
        <w:tc>
          <w:tcPr>
            <w:tcW w:w="1186" w:type="dxa"/>
            <w:noWrap w:val="0"/>
            <w:vAlign w:val="center"/>
          </w:tcPr>
          <w:p>
            <w:pPr>
              <w:pageBreakBefore w:val="0"/>
              <w:kinsoku/>
              <w:wordWrap w:val="0"/>
              <w:overflowPunct/>
              <w:topLinePunct w:val="0"/>
              <w:bidi w:val="0"/>
              <w:spacing w:line="360" w:lineRule="auto"/>
              <w:jc w:val="both"/>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对本项目监理工作范围和任</w:t>
            </w:r>
          </w:p>
          <w:p>
            <w:pPr>
              <w:pageBreakBefore w:val="0"/>
              <w:kinsoku/>
              <w:wordWrap w:val="0"/>
              <w:overflowPunct/>
              <w:topLinePunct w:val="0"/>
              <w:bidi w:val="0"/>
              <w:spacing w:line="360" w:lineRule="auto"/>
              <w:jc w:val="both"/>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务理解</w:t>
            </w:r>
          </w:p>
        </w:tc>
        <w:tc>
          <w:tcPr>
            <w:tcW w:w="666" w:type="dxa"/>
            <w:noWrap w:val="0"/>
            <w:vAlign w:val="center"/>
          </w:tcPr>
          <w:p>
            <w:pPr>
              <w:pageBreakBefore w:val="0"/>
              <w:kinsoku/>
              <w:wordWrap w:val="0"/>
              <w:overflowPunct/>
              <w:topLinePunct w:val="0"/>
              <w:bidi w:val="0"/>
              <w:spacing w:line="360" w:lineRule="auto"/>
              <w:jc w:val="center"/>
              <w:textAlignment w:val="auto"/>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5分</w:t>
            </w:r>
          </w:p>
        </w:tc>
        <w:tc>
          <w:tcPr>
            <w:tcW w:w="4814" w:type="dxa"/>
            <w:noWrap w:val="0"/>
            <w:vAlign w:val="top"/>
          </w:tcPr>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szCs w:val="21"/>
              </w:rPr>
            </w:pPr>
            <w:r>
              <w:rPr>
                <w:rFonts w:hint="eastAsia" w:ascii="宋体" w:hAnsi="宋体" w:cs="宋体"/>
                <w:szCs w:val="21"/>
                <w:lang w:val="en-US" w:eastAsia="zh-CN"/>
              </w:rPr>
              <w:t>（缺项则该项得 0 分）；</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szCs w:val="21"/>
              </w:rPr>
            </w:pPr>
            <w:r>
              <w:rPr>
                <w:rFonts w:hint="eastAsia" w:ascii="宋体" w:hAnsi="宋体" w:cs="宋体"/>
                <w:szCs w:val="21"/>
              </w:rPr>
              <w:t>理解较准确，思路较清晰，得</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szCs w:val="21"/>
                <w:lang w:val="zh-CN" w:eastAsia="zh-CN"/>
              </w:rPr>
            </w:pPr>
            <w:r>
              <w:rPr>
                <w:rFonts w:hint="eastAsia" w:ascii="宋体" w:hAnsi="宋体" w:cs="宋体"/>
                <w:szCs w:val="21"/>
              </w:rPr>
              <w:t>理解准确，思路清晰，全面、合理，符合项目要求，得</w:t>
            </w:r>
            <w:r>
              <w:rPr>
                <w:rFonts w:hint="eastAsia" w:ascii="宋体" w:hAnsi="宋体" w:cs="宋体"/>
                <w:szCs w:val="21"/>
                <w:lang w:val="en-US" w:eastAsia="zh-CN"/>
              </w:rPr>
              <w:t>3</w:t>
            </w: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p>
        </w:tc>
        <w:tc>
          <w:tcPr>
            <w:tcW w:w="681" w:type="dxa"/>
            <w:vMerge w:val="continue"/>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p>
        </w:tc>
        <w:tc>
          <w:tcPr>
            <w:tcW w:w="1175" w:type="dxa"/>
            <w:vMerge w:val="continue"/>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p>
        </w:tc>
        <w:tc>
          <w:tcPr>
            <w:tcW w:w="685" w:type="dxa"/>
            <w:vMerge w:val="continue"/>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p>
        </w:tc>
        <w:tc>
          <w:tcPr>
            <w:tcW w:w="1186" w:type="dxa"/>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监理工作程序</w:t>
            </w:r>
          </w:p>
        </w:tc>
        <w:tc>
          <w:tcPr>
            <w:tcW w:w="666" w:type="dxa"/>
            <w:noWrap w:val="0"/>
            <w:vAlign w:val="center"/>
          </w:tcPr>
          <w:p>
            <w:pPr>
              <w:pageBreakBefore w:val="0"/>
              <w:kinsoku/>
              <w:wordWrap w:val="0"/>
              <w:overflowPunct/>
              <w:topLinePunct w:val="0"/>
              <w:bidi w:val="0"/>
              <w:spacing w:line="360" w:lineRule="auto"/>
              <w:jc w:val="center"/>
              <w:textAlignment w:val="auto"/>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10分</w:t>
            </w:r>
          </w:p>
        </w:tc>
        <w:tc>
          <w:tcPr>
            <w:tcW w:w="4814" w:type="dxa"/>
            <w:noWrap w:val="0"/>
            <w:vAlign w:val="top"/>
          </w:tcPr>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内容基本齐全，阶段划分基本合理，可实施性一般，得1-4分；</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szCs w:val="21"/>
              </w:rPr>
            </w:pPr>
            <w:r>
              <w:rPr>
                <w:rFonts w:hint="eastAsia" w:ascii="宋体" w:hAnsi="宋体" w:cs="宋体"/>
                <w:szCs w:val="21"/>
              </w:rPr>
              <w:t>内容较齐全，阶段划分较合理，可实施性较好，得4.1－8分；</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szCs w:val="21"/>
                <w:lang w:val="zh-CN" w:eastAsia="zh-CN"/>
              </w:rPr>
            </w:pPr>
            <w:r>
              <w:rPr>
                <w:rFonts w:hint="eastAsia" w:ascii="宋体" w:hAnsi="宋体" w:cs="宋体"/>
                <w:szCs w:val="21"/>
              </w:rPr>
              <w:t>内容齐全，阶段划分合理、正确，可实施性强，得8.1－10分；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p>
        </w:tc>
        <w:tc>
          <w:tcPr>
            <w:tcW w:w="681" w:type="dxa"/>
            <w:vMerge w:val="continue"/>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p>
        </w:tc>
        <w:tc>
          <w:tcPr>
            <w:tcW w:w="1175" w:type="dxa"/>
            <w:vMerge w:val="continue"/>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p>
        </w:tc>
        <w:tc>
          <w:tcPr>
            <w:tcW w:w="1871" w:type="dxa"/>
            <w:gridSpan w:val="2"/>
            <w:noWrap w:val="0"/>
            <w:vAlign w:val="center"/>
          </w:tcPr>
          <w:p>
            <w:pPr>
              <w:pageBreakBefore w:val="0"/>
              <w:kinsoku/>
              <w:wordWrap w:val="0"/>
              <w:overflowPunct/>
              <w:topLinePunct w:val="0"/>
              <w:bidi w:val="0"/>
              <w:spacing w:line="360" w:lineRule="auto"/>
              <w:ind w:firstLine="420" w:firstLineChars="200"/>
              <w:jc w:val="center"/>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本工程监理工作的重点与难点分析</w:t>
            </w:r>
          </w:p>
        </w:tc>
        <w:tc>
          <w:tcPr>
            <w:tcW w:w="666" w:type="dxa"/>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10分</w:t>
            </w:r>
          </w:p>
        </w:tc>
        <w:tc>
          <w:tcPr>
            <w:tcW w:w="4814" w:type="dxa"/>
            <w:noWrap w:val="0"/>
            <w:vAlign w:val="top"/>
          </w:tcPr>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szCs w:val="21"/>
              </w:rPr>
            </w:pPr>
            <w:r>
              <w:rPr>
                <w:rFonts w:hint="eastAsia" w:ascii="宋体" w:hAnsi="宋体" w:cs="宋体"/>
                <w:szCs w:val="21"/>
              </w:rPr>
              <w:t>分析一般，对难点、重点把握一般；处理措施基本合理，基本可行，得1-4分；</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szCs w:val="21"/>
              </w:rPr>
            </w:pPr>
            <w:r>
              <w:rPr>
                <w:rFonts w:hint="eastAsia" w:ascii="宋体" w:hAnsi="宋体" w:cs="宋体"/>
                <w:szCs w:val="21"/>
              </w:rPr>
              <w:t>分析较透彻，对难点、重点把握较准确；处理措施合理，可行，得4.1－8分；</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szCs w:val="21"/>
                <w:lang w:val="zh-CN" w:eastAsia="zh-CN"/>
              </w:rPr>
            </w:pPr>
            <w:r>
              <w:rPr>
                <w:rFonts w:hint="eastAsia" w:ascii="宋体" w:hAnsi="宋体" w:cs="宋体"/>
                <w:szCs w:val="21"/>
              </w:rPr>
              <w:t>分析透彻，对难点、重点把握准确；处理措施科学合理，有效可行，得8.1－10分；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p>
        </w:tc>
        <w:tc>
          <w:tcPr>
            <w:tcW w:w="681" w:type="dxa"/>
            <w:vMerge w:val="continue"/>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p>
        </w:tc>
        <w:tc>
          <w:tcPr>
            <w:tcW w:w="1175" w:type="dxa"/>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p>
        </w:tc>
        <w:tc>
          <w:tcPr>
            <w:tcW w:w="1871" w:type="dxa"/>
            <w:gridSpan w:val="2"/>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对本工程的建议</w:t>
            </w:r>
          </w:p>
        </w:tc>
        <w:tc>
          <w:tcPr>
            <w:tcW w:w="666" w:type="dxa"/>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en-US" w:eastAsia="zh-CN" w:bidi="zh-CN"/>
              </w:rPr>
              <w:t>10分</w:t>
            </w:r>
          </w:p>
        </w:tc>
        <w:tc>
          <w:tcPr>
            <w:tcW w:w="4814" w:type="dxa"/>
            <w:noWrap w:val="0"/>
            <w:vAlign w:val="top"/>
          </w:tcPr>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szCs w:val="21"/>
                <w:lang w:eastAsia="zh-CN"/>
              </w:rPr>
            </w:pPr>
            <w:r>
              <w:rPr>
                <w:rFonts w:hint="eastAsia" w:ascii="宋体" w:hAnsi="宋体" w:cs="宋体"/>
                <w:szCs w:val="21"/>
              </w:rPr>
              <w:t>建议措施基本全面、合理，可实施性一般，得1-4分</w:t>
            </w:r>
            <w:r>
              <w:rPr>
                <w:rFonts w:hint="eastAsia" w:ascii="宋体" w:hAnsi="宋体" w:cs="宋体"/>
                <w:szCs w:val="21"/>
                <w:lang w:eastAsia="zh-CN"/>
              </w:rPr>
              <w:t>；</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szCs w:val="21"/>
                <w:lang w:eastAsia="zh-CN"/>
              </w:rPr>
            </w:pPr>
            <w:r>
              <w:rPr>
                <w:rFonts w:hint="eastAsia" w:ascii="宋体" w:hAnsi="宋体" w:cs="宋体"/>
                <w:szCs w:val="21"/>
              </w:rPr>
              <w:t>建议措施全面、合理，可实施性较好，得4.1－8分</w:t>
            </w:r>
            <w:r>
              <w:rPr>
                <w:rFonts w:hint="eastAsia" w:ascii="宋体" w:hAnsi="宋体" w:cs="宋体"/>
                <w:szCs w:val="21"/>
                <w:lang w:eastAsia="zh-CN"/>
              </w:rPr>
              <w:t>；</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eastAsia="宋体" w:cs="宋体"/>
                <w:szCs w:val="21"/>
                <w:lang w:val="zh-CN" w:eastAsia="zh-CN"/>
              </w:rPr>
            </w:pPr>
            <w:r>
              <w:rPr>
                <w:rFonts w:hint="eastAsia" w:ascii="宋体" w:hAnsi="宋体" w:cs="宋体"/>
                <w:szCs w:val="21"/>
              </w:rPr>
              <w:t>建议措施具体全面、可靠、合理，可实施性强，得8.1－10分</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49" w:type="dxa"/>
            <w:noWrap w:val="0"/>
            <w:vAlign w:val="center"/>
          </w:tcPr>
          <w:p>
            <w:pPr>
              <w:pageBreakBefore w:val="0"/>
              <w:kinsoku/>
              <w:wordWrap w:val="0"/>
              <w:overflowPunct/>
              <w:topLinePunct w:val="0"/>
              <w:bidi w:val="0"/>
              <w:spacing w:line="360" w:lineRule="auto"/>
              <w:jc w:val="both"/>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2.2.4</w:t>
            </w:r>
          </w:p>
          <w:p>
            <w:pPr>
              <w:pageBreakBefore w:val="0"/>
              <w:kinsoku/>
              <w:wordWrap w:val="0"/>
              <w:overflowPunct/>
              <w:topLinePunct w:val="0"/>
              <w:bidi w:val="0"/>
              <w:spacing w:line="360" w:lineRule="auto"/>
              <w:jc w:val="both"/>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（2）</w:t>
            </w:r>
          </w:p>
        </w:tc>
        <w:tc>
          <w:tcPr>
            <w:tcW w:w="681" w:type="dxa"/>
            <w:noWrap w:val="0"/>
            <w:vAlign w:val="center"/>
          </w:tcPr>
          <w:p>
            <w:pPr>
              <w:pageBreakBefore w:val="0"/>
              <w:kinsoku/>
              <w:wordWrap w:val="0"/>
              <w:overflowPunct/>
              <w:topLinePunct w:val="0"/>
              <w:bidi w:val="0"/>
              <w:spacing w:line="360" w:lineRule="auto"/>
              <w:jc w:val="both"/>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主要</w:t>
            </w:r>
          </w:p>
          <w:p>
            <w:pPr>
              <w:pageBreakBefore w:val="0"/>
              <w:kinsoku/>
              <w:wordWrap w:val="0"/>
              <w:overflowPunct/>
              <w:topLinePunct w:val="0"/>
              <w:bidi w:val="0"/>
              <w:spacing w:line="360" w:lineRule="auto"/>
              <w:jc w:val="both"/>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人员</w:t>
            </w:r>
          </w:p>
        </w:tc>
        <w:tc>
          <w:tcPr>
            <w:tcW w:w="1175" w:type="dxa"/>
            <w:noWrap w:val="0"/>
            <w:vAlign w:val="center"/>
          </w:tcPr>
          <w:p>
            <w:pPr>
              <w:pageBreakBefore w:val="0"/>
              <w:kinsoku/>
              <w:wordWrap w:val="0"/>
              <w:overflowPunct/>
              <w:topLinePunct w:val="0"/>
              <w:bidi w:val="0"/>
              <w:spacing w:line="360" w:lineRule="auto"/>
              <w:jc w:val="center"/>
              <w:textAlignment w:val="auto"/>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25分</w:t>
            </w:r>
          </w:p>
        </w:tc>
        <w:tc>
          <w:tcPr>
            <w:tcW w:w="1871" w:type="dxa"/>
            <w:gridSpan w:val="2"/>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总监理工程师</w:t>
            </w:r>
          </w:p>
        </w:tc>
        <w:tc>
          <w:tcPr>
            <w:tcW w:w="666" w:type="dxa"/>
            <w:noWrap w:val="0"/>
            <w:vAlign w:val="center"/>
          </w:tcPr>
          <w:p>
            <w:pPr>
              <w:pageBreakBefore w:val="0"/>
              <w:kinsoku/>
              <w:wordWrap w:val="0"/>
              <w:overflowPunct/>
              <w:topLinePunct w:val="0"/>
              <w:bidi w:val="0"/>
              <w:spacing w:line="360" w:lineRule="auto"/>
              <w:jc w:val="center"/>
              <w:textAlignment w:val="auto"/>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25分</w:t>
            </w:r>
          </w:p>
        </w:tc>
        <w:tc>
          <w:tcPr>
            <w:tcW w:w="4814" w:type="dxa"/>
            <w:noWrap w:val="0"/>
            <w:vAlign w:val="top"/>
          </w:tcPr>
          <w:p>
            <w:pPr>
              <w:pageBreakBefore w:val="0"/>
              <w:kinsoku/>
              <w:wordWrap w:val="0"/>
              <w:overflowPunct/>
              <w:topLinePunct w:val="0"/>
              <w:bidi w:val="0"/>
              <w:spacing w:line="360" w:lineRule="auto"/>
              <w:jc w:val="left"/>
              <w:textAlignment w:val="auto"/>
              <w:outlineLvl w:val="1"/>
              <w:rPr>
                <w:rFonts w:hint="eastAsia" w:ascii="宋体" w:hAnsi="宋体" w:cs="宋体"/>
                <w:szCs w:val="21"/>
              </w:rPr>
            </w:pPr>
            <w:r>
              <w:rPr>
                <w:rFonts w:hint="eastAsia" w:ascii="宋体" w:hAnsi="宋体" w:eastAsia="宋体" w:cs="宋体"/>
                <w:szCs w:val="21"/>
              </w:rPr>
              <w:t>满足</w:t>
            </w:r>
            <w:r>
              <w:rPr>
                <w:rFonts w:hint="eastAsia" w:ascii="宋体" w:hAnsi="宋体" w:eastAsia="宋体" w:cs="宋体"/>
                <w:szCs w:val="21"/>
                <w:lang w:val="zh-CN"/>
              </w:rPr>
              <w:t>招标文件</w:t>
            </w:r>
            <w:r>
              <w:rPr>
                <w:rFonts w:hint="eastAsia" w:ascii="宋体" w:hAnsi="宋体" w:eastAsia="宋体" w:cs="宋体"/>
                <w:szCs w:val="21"/>
              </w:rPr>
              <w:t>第二章“投标人须知”第1.4.1项“附录（4）资格审查条件（主要人员最低条件）”</w:t>
            </w:r>
            <w:r>
              <w:rPr>
                <w:rFonts w:hint="eastAsia" w:ascii="宋体" w:hAnsi="宋体" w:eastAsia="宋体" w:cs="宋体"/>
                <w:szCs w:val="21"/>
                <w:lang w:val="zh-CN"/>
              </w:rPr>
              <w:t>规定</w:t>
            </w:r>
            <w:r>
              <w:rPr>
                <w:rFonts w:hint="eastAsia" w:ascii="宋体" w:hAnsi="宋体" w:eastAsia="宋体" w:cs="宋体"/>
                <w:szCs w:val="21"/>
              </w:rPr>
              <w:t>得</w:t>
            </w:r>
            <w:r>
              <w:rPr>
                <w:rFonts w:hint="eastAsia" w:ascii="宋体" w:hAnsi="宋体" w:eastAsia="宋体" w:cs="宋体"/>
                <w:szCs w:val="21"/>
                <w:lang w:val="en-US" w:eastAsia="zh-CN"/>
              </w:rPr>
              <w:t>25</w:t>
            </w:r>
            <w:r>
              <w:rPr>
                <w:rFonts w:hint="eastAsia" w:ascii="宋体" w:hAnsi="宋体" w:eastAsia="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pageBreakBefore w:val="0"/>
              <w:kinsoku/>
              <w:wordWrap w:val="0"/>
              <w:overflowPunct/>
              <w:topLinePunct w:val="0"/>
              <w:bidi w:val="0"/>
              <w:spacing w:line="360" w:lineRule="auto"/>
              <w:jc w:val="both"/>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2.2.4</w:t>
            </w:r>
          </w:p>
          <w:p>
            <w:pPr>
              <w:pageBreakBefore w:val="0"/>
              <w:kinsoku/>
              <w:wordWrap w:val="0"/>
              <w:overflowPunct/>
              <w:topLinePunct w:val="0"/>
              <w:bidi w:val="0"/>
              <w:spacing w:line="360" w:lineRule="auto"/>
              <w:jc w:val="both"/>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（3）</w:t>
            </w:r>
          </w:p>
        </w:tc>
        <w:tc>
          <w:tcPr>
            <w:tcW w:w="681" w:type="dxa"/>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评标价</w:t>
            </w:r>
          </w:p>
        </w:tc>
        <w:tc>
          <w:tcPr>
            <w:tcW w:w="1175" w:type="dxa"/>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10分</w:t>
            </w:r>
          </w:p>
        </w:tc>
        <w:tc>
          <w:tcPr>
            <w:tcW w:w="7351" w:type="dxa"/>
            <w:gridSpan w:val="4"/>
            <w:noWrap w:val="0"/>
            <w:vAlign w:val="top"/>
          </w:tcPr>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szCs w:val="21"/>
              </w:rPr>
            </w:pPr>
            <w:r>
              <w:rPr>
                <w:rFonts w:hint="eastAsia" w:ascii="宋体" w:hAnsi="宋体" w:cs="宋体"/>
                <w:szCs w:val="21"/>
              </w:rPr>
              <w:t>评标价得分计算公式示例：</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szCs w:val="21"/>
              </w:rPr>
            </w:pPr>
            <w:r>
              <w:rPr>
                <w:rFonts w:hint="eastAsia" w:ascii="宋体" w:hAnsi="宋体" w:cs="宋体"/>
                <w:szCs w:val="21"/>
              </w:rPr>
              <w:t>（1）如果投标人的评标价&gt;评标基准价，则评标价得分=F-偏差率*</w:t>
            </w:r>
            <w:r>
              <w:rPr>
                <w:rFonts w:hint="eastAsia" w:ascii="宋体" w:hAnsi="宋体" w:cs="宋体"/>
                <w:szCs w:val="21"/>
                <w:lang w:eastAsia="zh-CN"/>
              </w:rPr>
              <w:t>E</w:t>
            </w:r>
            <w:r>
              <w:rPr>
                <w:rFonts w:hint="eastAsia" w:ascii="宋体" w:hAnsi="宋体" w:cs="宋体"/>
                <w:szCs w:val="21"/>
              </w:rPr>
              <w:t>1</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szCs w:val="21"/>
              </w:rPr>
            </w:pPr>
            <w:r>
              <w:rPr>
                <w:rFonts w:hint="eastAsia" w:ascii="宋体" w:hAnsi="宋体" w:cs="宋体"/>
                <w:szCs w:val="21"/>
              </w:rPr>
              <w:t>（2）如果投标人的评标价&lt;=评标基准价，则评标价得分=F+偏差率*</w:t>
            </w:r>
            <w:r>
              <w:rPr>
                <w:rFonts w:hint="eastAsia" w:ascii="宋体" w:hAnsi="宋体" w:cs="宋体"/>
                <w:szCs w:val="21"/>
                <w:lang w:eastAsia="zh-CN"/>
              </w:rPr>
              <w:t>E</w:t>
            </w:r>
            <w:r>
              <w:rPr>
                <w:rFonts w:hint="eastAsia" w:ascii="宋体" w:hAnsi="宋体" w:cs="宋体"/>
                <w:szCs w:val="21"/>
              </w:rPr>
              <w:t>2</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szCs w:val="21"/>
              </w:rPr>
            </w:pPr>
            <w:r>
              <w:rPr>
                <w:rFonts w:hint="eastAsia" w:ascii="宋体" w:hAnsi="宋体" w:cs="宋体"/>
                <w:szCs w:val="21"/>
              </w:rPr>
              <w:t>其中：</w:t>
            </w:r>
            <w:r>
              <w:rPr>
                <w:rFonts w:hint="eastAsia" w:ascii="宋体" w:hAnsi="宋体" w:cs="宋体"/>
                <w:szCs w:val="21"/>
                <w:lang w:eastAsia="zh-CN"/>
              </w:rPr>
              <w:t>F</w:t>
            </w:r>
            <w:r>
              <w:rPr>
                <w:rFonts w:hint="eastAsia" w:ascii="宋体" w:hAnsi="宋体" w:cs="宋体"/>
                <w:szCs w:val="21"/>
              </w:rPr>
              <w:t>是评标价所占的权重分值，</w:t>
            </w:r>
            <w:r>
              <w:rPr>
                <w:rFonts w:hint="eastAsia" w:ascii="宋体" w:hAnsi="宋体" w:cs="宋体"/>
                <w:szCs w:val="21"/>
                <w:lang w:eastAsia="zh-CN"/>
              </w:rPr>
              <w:t>E</w:t>
            </w:r>
            <w:r>
              <w:rPr>
                <w:rFonts w:hint="eastAsia" w:ascii="宋体" w:hAnsi="宋体" w:cs="宋体"/>
                <w:szCs w:val="21"/>
              </w:rPr>
              <w:t>1是评标价每高于评标基准价一个百分点的扣分值，</w:t>
            </w:r>
            <w:r>
              <w:rPr>
                <w:rFonts w:hint="eastAsia" w:ascii="宋体" w:hAnsi="宋体" w:cs="宋体"/>
                <w:szCs w:val="21"/>
                <w:lang w:eastAsia="zh-CN"/>
              </w:rPr>
              <w:t>E</w:t>
            </w:r>
            <w:r>
              <w:rPr>
                <w:rFonts w:hint="eastAsia" w:ascii="宋体" w:hAnsi="宋体" w:cs="宋体"/>
                <w:szCs w:val="21"/>
              </w:rPr>
              <w:t>2是评标价每低于评标基准价一个百分点的扣分值；</w:t>
            </w:r>
          </w:p>
          <w:p>
            <w:pPr>
              <w:pageBreakBefore w:val="0"/>
              <w:kinsoku/>
              <w:wordWrap w:val="0"/>
              <w:overflowPunct/>
              <w:topLinePunct w:val="0"/>
              <w:bidi w:val="0"/>
              <w:spacing w:line="360" w:lineRule="auto"/>
              <w:ind w:firstLine="420" w:firstLineChars="200"/>
              <w:jc w:val="left"/>
              <w:textAlignment w:val="auto"/>
              <w:outlineLvl w:val="1"/>
              <w:rPr>
                <w:rFonts w:hint="eastAsia" w:ascii="宋体" w:hAnsi="宋体" w:cs="宋体"/>
                <w:szCs w:val="21"/>
              </w:rPr>
            </w:pPr>
            <w:r>
              <w:rPr>
                <w:rFonts w:hint="eastAsia" w:ascii="宋体" w:hAnsi="宋体" w:cs="宋体"/>
                <w:szCs w:val="21"/>
              </w:rPr>
              <w:t>其中，F=10；E1=0.</w:t>
            </w:r>
            <w:r>
              <w:rPr>
                <w:rFonts w:hint="eastAsia" w:ascii="宋体" w:hAnsi="宋体" w:cs="宋体"/>
                <w:szCs w:val="21"/>
                <w:lang w:val="en-US" w:eastAsia="zh-CN"/>
              </w:rPr>
              <w:t>1</w:t>
            </w:r>
            <w:r>
              <w:rPr>
                <w:rFonts w:hint="eastAsia" w:ascii="宋体" w:hAnsi="宋体" w:cs="宋体"/>
                <w:szCs w:val="21"/>
              </w:rPr>
              <w:t>；E2=0.</w:t>
            </w:r>
            <w:r>
              <w:rPr>
                <w:rFonts w:hint="eastAsia" w:ascii="宋体" w:hAnsi="宋体" w:cs="宋体"/>
                <w:szCs w:val="21"/>
                <w:lang w:val="en-US" w:eastAsia="zh-CN"/>
              </w:rPr>
              <w:t>05</w:t>
            </w:r>
            <w:r>
              <w:rPr>
                <w:rFonts w:hint="eastAsia" w:ascii="宋体" w:hAnsi="宋体" w:cs="宋体"/>
                <w:szCs w:val="21"/>
              </w:rPr>
              <w:t>；评标价最低得分为0分。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49" w:type="dxa"/>
            <w:vMerge w:val="restart"/>
            <w:noWrap w:val="0"/>
            <w:vAlign w:val="center"/>
          </w:tcPr>
          <w:p>
            <w:pPr>
              <w:pageBreakBefore w:val="0"/>
              <w:kinsoku/>
              <w:wordWrap w:val="0"/>
              <w:overflowPunct/>
              <w:topLinePunct w:val="0"/>
              <w:bidi w:val="0"/>
              <w:spacing w:line="360" w:lineRule="auto"/>
              <w:jc w:val="both"/>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2.2.4</w:t>
            </w:r>
          </w:p>
          <w:p>
            <w:pPr>
              <w:pageBreakBefore w:val="0"/>
              <w:kinsoku/>
              <w:wordWrap w:val="0"/>
              <w:overflowPunct/>
              <w:topLinePunct w:val="0"/>
              <w:bidi w:val="0"/>
              <w:spacing w:line="360" w:lineRule="auto"/>
              <w:jc w:val="both"/>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（4）</w:t>
            </w:r>
          </w:p>
        </w:tc>
        <w:tc>
          <w:tcPr>
            <w:tcW w:w="681" w:type="dxa"/>
            <w:vMerge w:val="restart"/>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其他因素</w:t>
            </w:r>
          </w:p>
        </w:tc>
        <w:tc>
          <w:tcPr>
            <w:tcW w:w="1175" w:type="dxa"/>
            <w:vMerge w:val="restart"/>
            <w:noWrap w:val="0"/>
            <w:vAlign w:val="center"/>
          </w:tcPr>
          <w:p>
            <w:pPr>
              <w:pageBreakBefore w:val="0"/>
              <w:kinsoku/>
              <w:wordWrap w:val="0"/>
              <w:overflowPunct/>
              <w:topLinePunct w:val="0"/>
              <w:bidi w:val="0"/>
              <w:spacing w:line="360" w:lineRule="auto"/>
              <w:jc w:val="center"/>
              <w:textAlignment w:val="auto"/>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30分</w:t>
            </w:r>
          </w:p>
        </w:tc>
        <w:tc>
          <w:tcPr>
            <w:tcW w:w="1871" w:type="dxa"/>
            <w:gridSpan w:val="2"/>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业绩</w:t>
            </w:r>
          </w:p>
        </w:tc>
        <w:tc>
          <w:tcPr>
            <w:tcW w:w="666" w:type="dxa"/>
            <w:noWrap w:val="0"/>
            <w:vAlign w:val="center"/>
          </w:tcPr>
          <w:p>
            <w:pPr>
              <w:pageBreakBefore w:val="0"/>
              <w:kinsoku/>
              <w:wordWrap w:val="0"/>
              <w:overflowPunct/>
              <w:topLinePunct w:val="0"/>
              <w:bidi w:val="0"/>
              <w:spacing w:line="360" w:lineRule="auto"/>
              <w:jc w:val="center"/>
              <w:textAlignment w:val="auto"/>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20分</w:t>
            </w:r>
          </w:p>
        </w:tc>
        <w:tc>
          <w:tcPr>
            <w:tcW w:w="4814" w:type="dxa"/>
            <w:noWrap w:val="0"/>
            <w:vAlign w:val="center"/>
          </w:tcPr>
          <w:p>
            <w:pPr>
              <w:pageBreakBefore w:val="0"/>
              <w:kinsoku/>
              <w:wordWrap w:val="0"/>
              <w:overflowPunct/>
              <w:topLinePunct w:val="0"/>
              <w:bidi w:val="0"/>
              <w:spacing w:line="360" w:lineRule="auto"/>
              <w:jc w:val="left"/>
              <w:textAlignment w:val="auto"/>
              <w:outlineLvl w:val="1"/>
              <w:rPr>
                <w:rFonts w:hint="eastAsia" w:ascii="宋体" w:hAnsi="宋体" w:eastAsia="宋体" w:cs="宋体"/>
                <w:szCs w:val="21"/>
              </w:rPr>
            </w:pPr>
            <w:r>
              <w:rPr>
                <w:rFonts w:hint="eastAsia" w:ascii="宋体" w:hAnsi="宋体" w:eastAsia="宋体" w:cs="宋体"/>
                <w:szCs w:val="21"/>
              </w:rPr>
              <w:t>满足</w:t>
            </w:r>
            <w:r>
              <w:rPr>
                <w:rFonts w:hint="eastAsia" w:ascii="宋体" w:hAnsi="宋体" w:eastAsia="宋体" w:cs="宋体"/>
                <w:szCs w:val="21"/>
                <w:lang w:val="zh-CN"/>
              </w:rPr>
              <w:t>招标文件</w:t>
            </w:r>
            <w:r>
              <w:rPr>
                <w:rFonts w:hint="eastAsia" w:ascii="宋体" w:hAnsi="宋体" w:eastAsia="宋体" w:cs="宋体"/>
                <w:szCs w:val="21"/>
              </w:rPr>
              <w:t>第二章“投标人须知”第1.4.1项“附录（2）资格审查条件（业绩最低条件）”</w:t>
            </w:r>
            <w:r>
              <w:rPr>
                <w:rFonts w:hint="eastAsia" w:ascii="宋体" w:hAnsi="宋体" w:eastAsia="宋体" w:cs="宋体"/>
                <w:szCs w:val="21"/>
                <w:lang w:val="zh-CN"/>
              </w:rPr>
              <w:t>规定</w:t>
            </w:r>
            <w:r>
              <w:rPr>
                <w:rFonts w:hint="eastAsia" w:ascii="宋体" w:hAnsi="宋体" w:eastAsia="宋体" w:cs="宋体"/>
                <w:szCs w:val="21"/>
              </w:rPr>
              <w:t>附录2要求，得</w:t>
            </w:r>
            <w:r>
              <w:rPr>
                <w:rFonts w:hint="eastAsia" w:ascii="宋体" w:hAnsi="宋体" w:eastAsia="宋体" w:cs="宋体"/>
                <w:szCs w:val="21"/>
                <w:lang w:val="en-US" w:eastAsia="zh-CN"/>
              </w:rPr>
              <w:t>20</w:t>
            </w:r>
            <w:r>
              <w:rPr>
                <w:rFonts w:hint="eastAsia" w:ascii="宋体" w:hAnsi="宋体" w:eastAsia="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749" w:type="dxa"/>
            <w:vMerge w:val="continue"/>
            <w:noWrap w:val="0"/>
            <w:vAlign w:val="center"/>
          </w:tcPr>
          <w:p>
            <w:pPr>
              <w:pageBreakBefore w:val="0"/>
              <w:kinsoku/>
              <w:wordWrap w:val="0"/>
              <w:overflowPunct/>
              <w:topLinePunct w:val="0"/>
              <w:bidi w:val="0"/>
              <w:spacing w:line="360" w:lineRule="auto"/>
              <w:jc w:val="both"/>
              <w:textAlignment w:val="auto"/>
              <w:outlineLvl w:val="1"/>
              <w:rPr>
                <w:rFonts w:hint="eastAsia" w:ascii="宋体" w:hAnsi="宋体" w:eastAsia="宋体" w:cs="宋体"/>
                <w:color w:val="000000"/>
                <w:lang w:val="zh-CN" w:eastAsia="zh-CN" w:bidi="zh-CN"/>
              </w:rPr>
            </w:pPr>
          </w:p>
        </w:tc>
        <w:tc>
          <w:tcPr>
            <w:tcW w:w="681" w:type="dxa"/>
            <w:vMerge w:val="continue"/>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p>
        </w:tc>
        <w:tc>
          <w:tcPr>
            <w:tcW w:w="1175" w:type="dxa"/>
            <w:vMerge w:val="continue"/>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en-US" w:eastAsia="zh-CN" w:bidi="zh-CN"/>
              </w:rPr>
            </w:pPr>
          </w:p>
        </w:tc>
        <w:tc>
          <w:tcPr>
            <w:tcW w:w="1871" w:type="dxa"/>
            <w:gridSpan w:val="2"/>
            <w:noWrap w:val="0"/>
            <w:vAlign w:val="center"/>
          </w:tcPr>
          <w:p>
            <w:pPr>
              <w:pageBreakBefore w:val="0"/>
              <w:kinsoku/>
              <w:wordWrap w:val="0"/>
              <w:overflowPunct/>
              <w:topLinePunct w:val="0"/>
              <w:bidi w:val="0"/>
              <w:spacing w:line="360" w:lineRule="auto"/>
              <w:jc w:val="center"/>
              <w:textAlignment w:val="auto"/>
              <w:outlineLvl w:val="1"/>
              <w:rPr>
                <w:rFonts w:hint="eastAsia" w:ascii="宋体" w:hAnsi="宋体" w:eastAsia="宋体" w:cs="宋体"/>
                <w:color w:val="000000"/>
                <w:lang w:val="zh-CN" w:eastAsia="zh-CN" w:bidi="zh-CN"/>
              </w:rPr>
            </w:pPr>
            <w:r>
              <w:rPr>
                <w:rFonts w:hint="eastAsia" w:ascii="宋体" w:hAnsi="宋体" w:eastAsia="宋体" w:cs="宋体"/>
                <w:color w:val="000000"/>
                <w:lang w:val="zh-CN" w:eastAsia="zh-CN" w:bidi="zh-CN"/>
              </w:rPr>
              <w:t>履约信誉</w:t>
            </w:r>
          </w:p>
        </w:tc>
        <w:tc>
          <w:tcPr>
            <w:tcW w:w="666" w:type="dxa"/>
            <w:noWrap w:val="0"/>
            <w:vAlign w:val="center"/>
          </w:tcPr>
          <w:p>
            <w:pPr>
              <w:pageBreakBefore w:val="0"/>
              <w:kinsoku/>
              <w:wordWrap w:val="0"/>
              <w:overflowPunct/>
              <w:topLinePunct w:val="0"/>
              <w:bidi w:val="0"/>
              <w:spacing w:line="360" w:lineRule="auto"/>
              <w:jc w:val="center"/>
              <w:textAlignment w:val="auto"/>
              <w:outlineLvl w:val="1"/>
              <w:rPr>
                <w:rFonts w:hint="default" w:ascii="宋体" w:hAnsi="宋体" w:eastAsia="宋体" w:cs="宋体"/>
                <w:color w:val="000000"/>
                <w:lang w:val="en-US" w:eastAsia="zh-CN" w:bidi="zh-CN"/>
              </w:rPr>
            </w:pPr>
            <w:r>
              <w:rPr>
                <w:rFonts w:hint="eastAsia" w:ascii="宋体" w:hAnsi="宋体" w:eastAsia="宋体" w:cs="宋体"/>
                <w:color w:val="000000"/>
                <w:lang w:val="en-US" w:eastAsia="zh-CN" w:bidi="zh-CN"/>
              </w:rPr>
              <w:t>10分</w:t>
            </w:r>
          </w:p>
        </w:tc>
        <w:tc>
          <w:tcPr>
            <w:tcW w:w="4814" w:type="dxa"/>
            <w:noWrap w:val="0"/>
            <w:vAlign w:val="center"/>
          </w:tcPr>
          <w:p>
            <w:pPr>
              <w:pageBreakBefore w:val="0"/>
              <w:kinsoku/>
              <w:wordWrap w:val="0"/>
              <w:overflowPunct/>
              <w:topLinePunct w:val="0"/>
              <w:bidi w:val="0"/>
              <w:spacing w:line="360" w:lineRule="auto"/>
              <w:jc w:val="left"/>
              <w:textAlignment w:val="auto"/>
              <w:outlineLvl w:val="1"/>
              <w:rPr>
                <w:rFonts w:hint="eastAsia" w:ascii="宋体" w:hAnsi="宋体" w:eastAsia="宋体" w:cs="宋体"/>
                <w:szCs w:val="21"/>
              </w:rPr>
            </w:pPr>
            <w:r>
              <w:rPr>
                <w:rFonts w:hint="eastAsia" w:ascii="宋体" w:hAnsi="宋体" w:eastAsia="宋体" w:cs="宋体"/>
                <w:szCs w:val="21"/>
              </w:rPr>
              <w:t>满足</w:t>
            </w:r>
            <w:r>
              <w:rPr>
                <w:rFonts w:hint="eastAsia" w:ascii="宋体" w:hAnsi="宋体" w:eastAsia="宋体" w:cs="宋体"/>
                <w:szCs w:val="21"/>
                <w:lang w:val="zh-CN"/>
              </w:rPr>
              <w:t>招标文件</w:t>
            </w:r>
            <w:r>
              <w:rPr>
                <w:rFonts w:hint="eastAsia" w:ascii="宋体" w:hAnsi="宋体" w:eastAsia="宋体" w:cs="宋体"/>
                <w:szCs w:val="21"/>
              </w:rPr>
              <w:t>第二章“投标人须知”第1.4.1项“附录（</w:t>
            </w:r>
            <w:r>
              <w:rPr>
                <w:rFonts w:hint="eastAsia" w:ascii="宋体" w:hAnsi="宋体" w:eastAsia="宋体" w:cs="宋体"/>
                <w:szCs w:val="21"/>
                <w:lang w:val="en-US" w:eastAsia="zh-CN"/>
              </w:rPr>
              <w:t>3</w:t>
            </w:r>
            <w:r>
              <w:rPr>
                <w:rFonts w:hint="eastAsia" w:ascii="宋体" w:hAnsi="宋体" w:eastAsia="宋体" w:cs="宋体"/>
                <w:szCs w:val="21"/>
              </w:rPr>
              <w:t>）资格审查条件（信誉最低条件）”</w:t>
            </w:r>
            <w:r>
              <w:rPr>
                <w:rFonts w:hint="eastAsia" w:ascii="宋体" w:hAnsi="宋体" w:eastAsia="宋体" w:cs="宋体"/>
                <w:szCs w:val="21"/>
                <w:lang w:val="zh-CN"/>
              </w:rPr>
              <w:t>规定</w:t>
            </w:r>
            <w:r>
              <w:rPr>
                <w:rFonts w:hint="eastAsia" w:ascii="宋体" w:hAnsi="宋体" w:eastAsia="宋体" w:cs="宋体"/>
                <w:szCs w:val="21"/>
              </w:rPr>
              <w:t>附录2要求，得</w:t>
            </w:r>
            <w:r>
              <w:rPr>
                <w:rFonts w:hint="eastAsia" w:ascii="宋体" w:hAnsi="宋体" w:eastAsia="宋体" w:cs="宋体"/>
                <w:szCs w:val="21"/>
                <w:lang w:val="en-US" w:eastAsia="zh-CN"/>
              </w:rPr>
              <w:t>10</w:t>
            </w:r>
            <w:r>
              <w:rPr>
                <w:rFonts w:hint="eastAsia" w:ascii="宋体" w:hAnsi="宋体" w:eastAsia="宋体" w:cs="宋体"/>
                <w:szCs w:val="21"/>
              </w:rPr>
              <w:t>分。</w:t>
            </w:r>
          </w:p>
        </w:tc>
      </w:tr>
    </w:tbl>
    <w:p>
      <w:pPr>
        <w:pageBreakBefore w:val="0"/>
        <w:kinsoku/>
        <w:wordWrap w:val="0"/>
        <w:overflowPunct/>
        <w:topLinePunct w:val="0"/>
        <w:bidi w:val="0"/>
        <w:spacing w:line="360" w:lineRule="auto"/>
        <w:jc w:val="left"/>
        <w:textAlignment w:val="auto"/>
        <w:outlineLvl w:val="1"/>
        <w:rPr>
          <w:rFonts w:hint="eastAsia" w:ascii="宋体" w:hAnsi="宋体" w:cs="宋体"/>
          <w:color w:val="000000"/>
          <w:lang w:val="zh-CN" w:bidi="zh-CN"/>
        </w:rPr>
      </w:pPr>
      <w:r>
        <w:rPr>
          <w:rFonts w:hint="eastAsia" w:ascii="宋体" w:hAnsi="宋体" w:cs="宋体"/>
          <w:b/>
          <w:color w:val="000000"/>
          <w:lang w:val="zh-CN" w:bidi="zh-CN"/>
        </w:rPr>
        <w:t>注：评标委员会成员按照本办法的规定，独立评分并签名，各评分因素得分以评标委员会各成员的打分平均值确定。（保留小数点后两位小数，第三位四舍五入）</w:t>
      </w:r>
    </w:p>
    <w:p>
      <w:pPr>
        <w:pStyle w:val="7"/>
        <w:keepNext/>
        <w:keepLines/>
        <w:pageBreakBefore w:val="0"/>
        <w:numPr>
          <w:ilvl w:val="0"/>
          <w:numId w:val="1"/>
        </w:numPr>
        <w:shd w:val="clear" w:color="auto" w:fill="auto"/>
        <w:kinsoku/>
        <w:wordWrap w:val="0"/>
        <w:overflowPunct/>
        <w:topLinePunct w:val="0"/>
        <w:bidi w:val="0"/>
        <w:spacing w:before="0" w:beforeLines="0" w:after="249" w:afterLines="0"/>
        <w:jc w:val="left"/>
        <w:textAlignment w:val="auto"/>
        <w:rPr>
          <w:rFonts w:hint="eastAsia" w:ascii="宋体" w:hAnsi="宋体" w:eastAsia="宋体" w:cs="宋体"/>
          <w:b/>
          <w:bCs/>
        </w:rPr>
      </w:pPr>
      <w:r>
        <w:rPr>
          <w:rStyle w:val="8"/>
          <w:rFonts w:hint="eastAsia" w:ascii="宋体" w:hAnsi="宋体" w:eastAsia="宋体" w:cs="宋体"/>
          <w:b/>
          <w:bCs/>
        </w:rPr>
        <w:t>评标方法</w:t>
      </w:r>
    </w:p>
    <w:p>
      <w:pPr>
        <w:pStyle w:val="10"/>
        <w:pageBreakBefore w:val="0"/>
        <w:shd w:val="clear" w:color="auto" w:fill="auto"/>
        <w:kinsoku/>
        <w:wordWrap w:val="0"/>
        <w:overflowPunct/>
        <w:topLinePunct w:val="0"/>
        <w:bidi w:val="0"/>
        <w:spacing w:before="0" w:beforeLines="0" w:after="148"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本次评标采用综合评估法。评标委员会对满足招标文件实质性要求的投标文件，按照本章第</w:t>
      </w:r>
      <w:r>
        <w:rPr>
          <w:rFonts w:hint="eastAsia" w:ascii="宋体" w:hAnsi="宋体" w:eastAsia="宋体" w:cs="宋体"/>
          <w:color w:val="000000"/>
          <w:lang w:bidi="en-US"/>
        </w:rPr>
        <w:t>2.2</w:t>
      </w:r>
      <w:r>
        <w:rPr>
          <w:rFonts w:hint="eastAsia" w:ascii="宋体" w:hAnsi="宋体" w:eastAsia="宋体" w:cs="宋体"/>
          <w:color w:val="000000"/>
          <w:lang w:val="zh-CN" w:bidi="zh-CN"/>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pStyle w:val="11"/>
        <w:pageBreakBefore w:val="0"/>
        <w:numPr>
          <w:ilvl w:val="0"/>
          <w:numId w:val="1"/>
        </w:numPr>
        <w:shd w:val="clear" w:color="auto" w:fill="auto"/>
        <w:kinsoku/>
        <w:wordWrap w:val="0"/>
        <w:overflowPunct/>
        <w:topLinePunct w:val="0"/>
        <w:bidi w:val="0"/>
        <w:spacing w:before="0" w:beforeLines="0" w:line="564" w:lineRule="exact"/>
        <w:ind w:right="6080"/>
        <w:jc w:val="left"/>
        <w:textAlignment w:val="auto"/>
        <w:rPr>
          <w:rFonts w:hint="eastAsia" w:ascii="宋体" w:hAnsi="宋体" w:eastAsia="宋体" w:cs="宋体"/>
        </w:rPr>
      </w:pPr>
      <w:r>
        <w:rPr>
          <w:rStyle w:val="12"/>
          <w:rFonts w:hint="eastAsia" w:ascii="宋体" w:hAnsi="宋体" w:eastAsia="宋体" w:cs="宋体"/>
          <w:b/>
          <w:bCs/>
        </w:rPr>
        <w:t xml:space="preserve">评审标准 </w:t>
      </w:r>
    </w:p>
    <w:p>
      <w:pPr>
        <w:pStyle w:val="11"/>
        <w:pageBreakBefore w:val="0"/>
        <w:shd w:val="clear" w:color="auto" w:fill="auto"/>
        <w:kinsoku/>
        <w:wordWrap w:val="0"/>
        <w:overflowPunct/>
        <w:topLinePunct w:val="0"/>
        <w:bidi w:val="0"/>
        <w:spacing w:before="0" w:beforeLines="0" w:line="564" w:lineRule="exact"/>
        <w:ind w:right="6080"/>
        <w:jc w:val="left"/>
        <w:textAlignment w:val="auto"/>
        <w:rPr>
          <w:rFonts w:hint="eastAsia" w:ascii="宋体" w:hAnsi="宋体" w:eastAsia="宋体" w:cs="宋体"/>
        </w:rPr>
      </w:pPr>
      <w:r>
        <w:rPr>
          <w:rStyle w:val="14"/>
          <w:rFonts w:hint="eastAsia" w:ascii="宋体" w:hAnsi="宋体" w:eastAsia="宋体" w:cs="宋体"/>
          <w:b/>
          <w:bCs/>
        </w:rPr>
        <w:t>2.1初步评审标准</w:t>
      </w:r>
    </w:p>
    <w:p>
      <w:pPr>
        <w:pStyle w:val="10"/>
        <w:pageBreakBefore w:val="0"/>
        <w:shd w:val="clear" w:color="auto" w:fill="auto"/>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color w:val="000000"/>
          <w:lang w:val="zh-CN" w:bidi="zh-CN"/>
        </w:rPr>
      </w:pPr>
      <w:r>
        <w:rPr>
          <w:rFonts w:hint="eastAsia" w:ascii="宋体" w:hAnsi="宋体" w:eastAsia="宋体" w:cs="宋体"/>
          <w:color w:val="000000"/>
          <w:lang w:val="zh-CN" w:bidi="zh-CN"/>
        </w:rPr>
        <w:t>2</w:t>
      </w:r>
      <w:r>
        <w:rPr>
          <w:rFonts w:hint="eastAsia"/>
          <w:b/>
          <w:bCs/>
          <w:lang w:val="zh-CN" w:bidi="zh-CN"/>
        </w:rPr>
        <w:t>.</w:t>
      </w:r>
      <w:r>
        <w:rPr>
          <w:rFonts w:hint="eastAsia" w:ascii="宋体" w:hAnsi="宋体" w:eastAsia="宋体" w:cs="宋体"/>
          <w:color w:val="000000"/>
          <w:lang w:val="zh-CN" w:bidi="zh-CN"/>
        </w:rPr>
        <w:t>1.1形式评审标准：见评标办法前附表</w:t>
      </w:r>
    </w:p>
    <w:p>
      <w:pPr>
        <w:pStyle w:val="10"/>
        <w:pageBreakBefore w:val="0"/>
        <w:shd w:val="clear" w:color="auto" w:fill="auto"/>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Style w:val="15"/>
          <w:rFonts w:hint="eastAsia" w:ascii="宋体" w:hAnsi="宋体" w:eastAsia="宋体" w:cs="宋体"/>
          <w:lang w:eastAsia="zh-CN"/>
        </w:rPr>
        <w:t>2</w:t>
      </w:r>
      <w:r>
        <w:rPr>
          <w:rStyle w:val="15"/>
          <w:rFonts w:hint="eastAsia" w:ascii="宋体" w:hAnsi="宋体" w:eastAsia="宋体" w:cs="宋体"/>
          <w:b/>
          <w:bCs/>
          <w:lang w:eastAsia="zh-CN"/>
        </w:rPr>
        <w:t>.</w:t>
      </w:r>
      <w:r>
        <w:rPr>
          <w:rStyle w:val="15"/>
          <w:rFonts w:hint="eastAsia" w:ascii="宋体" w:hAnsi="宋体" w:eastAsia="宋体" w:cs="宋体"/>
          <w:lang w:eastAsia="zh-CN"/>
        </w:rPr>
        <w:t>1.2</w:t>
      </w:r>
      <w:r>
        <w:rPr>
          <w:rFonts w:hint="eastAsia" w:ascii="宋体" w:hAnsi="宋体" w:eastAsia="宋体" w:cs="宋体"/>
          <w:color w:val="000000"/>
          <w:lang w:val="zh-CN" w:bidi="zh-CN"/>
        </w:rPr>
        <w:t>资格评审标准：见评标办法前附表(适用于未进行资格预审的)。</w:t>
      </w:r>
    </w:p>
    <w:p>
      <w:pPr>
        <w:pStyle w:val="10"/>
        <w:pageBreakBefore w:val="0"/>
        <w:shd w:val="clear" w:color="auto" w:fill="auto"/>
        <w:kinsoku/>
        <w:wordWrap w:val="0"/>
        <w:overflowPunct/>
        <w:topLinePunct w:val="0"/>
        <w:bidi w:val="0"/>
        <w:spacing w:before="0" w:beforeLines="0" w:after="246"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bidi="en-US"/>
        </w:rPr>
        <w:t>2.1.3</w:t>
      </w:r>
      <w:r>
        <w:rPr>
          <w:rFonts w:hint="eastAsia" w:ascii="宋体" w:hAnsi="宋体" w:eastAsia="宋体" w:cs="宋体"/>
          <w:color w:val="000000"/>
          <w:lang w:val="zh-CN" w:bidi="zh-CN"/>
        </w:rPr>
        <w:t>响应性评审标准：</w:t>
      </w:r>
      <w:r>
        <w:rPr>
          <w:rFonts w:hint="eastAsia" w:ascii="宋体" w:hAnsi="宋体" w:eastAsia="宋体" w:cs="宋体"/>
          <w:kern w:val="0"/>
          <w:szCs w:val="21"/>
        </w:rPr>
        <w:t>见评标办法前附表</w:t>
      </w:r>
    </w:p>
    <w:p>
      <w:pPr>
        <w:pStyle w:val="6"/>
        <w:keepNext/>
        <w:keepLines/>
        <w:pageBreakBefore w:val="0"/>
        <w:shd w:val="clear" w:color="auto" w:fill="auto"/>
        <w:kinsoku/>
        <w:wordWrap w:val="0"/>
        <w:overflowPunct/>
        <w:topLinePunct w:val="0"/>
        <w:bidi w:val="0"/>
        <w:spacing w:before="0" w:beforeLines="0" w:after="254" w:afterLines="0" w:line="266" w:lineRule="exact"/>
        <w:jc w:val="left"/>
        <w:textAlignment w:val="auto"/>
        <w:rPr>
          <w:rFonts w:hint="eastAsia" w:ascii="宋体" w:hAnsi="宋体" w:eastAsia="宋体" w:cs="宋体"/>
        </w:rPr>
      </w:pPr>
      <w:r>
        <w:rPr>
          <w:rStyle w:val="17"/>
          <w:rFonts w:hint="eastAsia" w:ascii="宋体" w:hAnsi="宋体" w:eastAsia="宋体" w:cs="宋体"/>
          <w:b/>
          <w:bCs/>
          <w:lang w:eastAsia="zh-CN"/>
        </w:rPr>
        <w:t>2.2</w:t>
      </w:r>
      <w:r>
        <w:rPr>
          <w:rStyle w:val="19"/>
          <w:rFonts w:hint="eastAsia" w:ascii="宋体" w:hAnsi="宋体" w:eastAsia="宋体" w:cs="宋体"/>
          <w:b/>
          <w:bCs/>
        </w:rPr>
        <w:t>分值构成与评分标准</w:t>
      </w:r>
    </w:p>
    <w:p>
      <w:pPr>
        <w:pStyle w:val="6"/>
        <w:keepNext/>
        <w:keepLines/>
        <w:pageBreakBefore w:val="0"/>
        <w:shd w:val="clear" w:color="auto" w:fill="auto"/>
        <w:kinsoku/>
        <w:wordWrap w:val="0"/>
        <w:overflowPunct/>
        <w:topLinePunct w:val="0"/>
        <w:bidi w:val="0"/>
        <w:spacing w:before="0" w:beforeLines="0" w:after="0" w:afterLines="0" w:line="398" w:lineRule="exact"/>
        <w:ind w:firstLine="500"/>
        <w:textAlignment w:val="auto"/>
        <w:rPr>
          <w:rFonts w:hint="eastAsia" w:ascii="宋体" w:hAnsi="宋体" w:eastAsia="宋体" w:cs="宋体"/>
        </w:rPr>
      </w:pPr>
      <w:r>
        <w:rPr>
          <w:rStyle w:val="17"/>
          <w:rFonts w:hint="eastAsia" w:ascii="宋体" w:hAnsi="宋体" w:eastAsia="宋体" w:cs="宋体"/>
          <w:b w:val="0"/>
          <w:bCs w:val="0"/>
          <w:lang w:eastAsia="zh-CN"/>
        </w:rPr>
        <w:t>2</w:t>
      </w:r>
      <w:r>
        <w:rPr>
          <w:rStyle w:val="17"/>
          <w:rFonts w:hint="eastAsia" w:ascii="宋体" w:hAnsi="宋体" w:eastAsia="宋体" w:cs="宋体"/>
          <w:b/>
          <w:bCs/>
          <w:lang w:eastAsia="zh-CN"/>
        </w:rPr>
        <w:t>.</w:t>
      </w:r>
      <w:r>
        <w:rPr>
          <w:rStyle w:val="17"/>
          <w:rFonts w:hint="eastAsia" w:ascii="宋体" w:hAnsi="宋体" w:eastAsia="宋体" w:cs="宋体"/>
          <w:b w:val="0"/>
          <w:bCs w:val="0"/>
          <w:lang w:eastAsia="zh-CN"/>
        </w:rPr>
        <w:t>2.1</w:t>
      </w:r>
      <w:r>
        <w:rPr>
          <w:rStyle w:val="19"/>
          <w:rFonts w:hint="eastAsia" w:ascii="宋体" w:hAnsi="宋体" w:eastAsia="宋体" w:cs="宋体"/>
          <w:b/>
          <w:bCs/>
        </w:rPr>
        <w:t>分值构成</w:t>
      </w:r>
    </w:p>
    <w:p>
      <w:pPr>
        <w:pStyle w:val="10"/>
        <w:pageBreakBefore w:val="0"/>
        <w:numPr>
          <w:ilvl w:val="0"/>
          <w:numId w:val="2"/>
        </w:numPr>
        <w:shd w:val="clear" w:color="auto" w:fill="auto"/>
        <w:tabs>
          <w:tab w:val="left" w:pos="1166"/>
        </w:tabs>
        <w:kinsoku/>
        <w:wordWrap w:val="0"/>
        <w:overflowPunct/>
        <w:topLinePunct w:val="0"/>
        <w:bidi w:val="0"/>
        <w:spacing w:before="0" w:beforeLines="0" w:after="0" w:afterLines="0" w:line="398" w:lineRule="exact"/>
        <w:ind w:left="640"/>
        <w:jc w:val="left"/>
        <w:textAlignment w:val="auto"/>
        <w:rPr>
          <w:rFonts w:hint="eastAsia" w:ascii="宋体" w:hAnsi="宋体" w:eastAsia="宋体" w:cs="宋体"/>
        </w:rPr>
      </w:pPr>
      <w:r>
        <w:rPr>
          <w:rFonts w:hint="eastAsia" w:ascii="宋体" w:hAnsi="宋体" w:eastAsia="宋体" w:cs="宋体"/>
          <w:color w:val="000000"/>
          <w:lang w:val="zh-CN" w:bidi="zh-CN"/>
        </w:rPr>
        <w:t>技术建议书：见评标办法前附表；</w:t>
      </w:r>
    </w:p>
    <w:p>
      <w:pPr>
        <w:pStyle w:val="10"/>
        <w:pageBreakBefore w:val="0"/>
        <w:numPr>
          <w:ilvl w:val="0"/>
          <w:numId w:val="2"/>
        </w:numPr>
        <w:shd w:val="clear" w:color="auto" w:fill="auto"/>
        <w:tabs>
          <w:tab w:val="left" w:pos="1169"/>
        </w:tabs>
        <w:kinsoku/>
        <w:wordWrap w:val="0"/>
        <w:overflowPunct/>
        <w:topLinePunct w:val="0"/>
        <w:bidi w:val="0"/>
        <w:spacing w:before="0" w:beforeLines="0" w:after="0" w:afterLines="0" w:line="398" w:lineRule="exact"/>
        <w:ind w:left="640"/>
        <w:jc w:val="left"/>
        <w:textAlignment w:val="auto"/>
        <w:rPr>
          <w:rFonts w:hint="eastAsia" w:ascii="宋体" w:hAnsi="宋体" w:eastAsia="宋体" w:cs="宋体"/>
        </w:rPr>
      </w:pPr>
      <w:r>
        <w:rPr>
          <w:rFonts w:hint="eastAsia" w:ascii="宋体" w:hAnsi="宋体" w:eastAsia="宋体" w:cs="宋体"/>
          <w:color w:val="000000"/>
          <w:lang w:val="zh-CN" w:bidi="zh-CN"/>
        </w:rPr>
        <w:t>主要人员：见评标办法前附表；</w:t>
      </w:r>
    </w:p>
    <w:p>
      <w:pPr>
        <w:pStyle w:val="10"/>
        <w:pageBreakBefore w:val="0"/>
        <w:numPr>
          <w:ilvl w:val="0"/>
          <w:numId w:val="2"/>
        </w:numPr>
        <w:shd w:val="clear" w:color="auto" w:fill="auto"/>
        <w:tabs>
          <w:tab w:val="left" w:pos="1169"/>
        </w:tabs>
        <w:kinsoku/>
        <w:wordWrap w:val="0"/>
        <w:overflowPunct/>
        <w:topLinePunct w:val="0"/>
        <w:bidi w:val="0"/>
        <w:spacing w:before="0" w:beforeLines="0" w:after="0" w:afterLines="0" w:line="398" w:lineRule="exact"/>
        <w:ind w:left="640"/>
        <w:jc w:val="left"/>
        <w:textAlignment w:val="auto"/>
        <w:rPr>
          <w:rFonts w:hint="eastAsia" w:ascii="宋体" w:hAnsi="宋体" w:eastAsia="宋体" w:cs="宋体"/>
        </w:rPr>
      </w:pPr>
      <w:r>
        <w:rPr>
          <w:rFonts w:hint="eastAsia" w:ascii="宋体" w:hAnsi="宋体" w:eastAsia="宋体" w:cs="宋体"/>
          <w:color w:val="000000"/>
          <w:lang w:val="zh-CN" w:bidi="zh-CN"/>
        </w:rPr>
        <w:t>评标价：见评标办法前附表；</w:t>
      </w:r>
    </w:p>
    <w:p>
      <w:pPr>
        <w:pStyle w:val="10"/>
        <w:pageBreakBefore w:val="0"/>
        <w:numPr>
          <w:ilvl w:val="0"/>
          <w:numId w:val="2"/>
        </w:numPr>
        <w:shd w:val="clear" w:color="auto" w:fill="auto"/>
        <w:tabs>
          <w:tab w:val="left" w:pos="1169"/>
        </w:tabs>
        <w:kinsoku/>
        <w:wordWrap w:val="0"/>
        <w:overflowPunct/>
        <w:topLinePunct w:val="0"/>
        <w:bidi w:val="0"/>
        <w:spacing w:before="0" w:beforeLines="0" w:after="0" w:afterLines="0" w:line="398" w:lineRule="exact"/>
        <w:ind w:left="640"/>
        <w:jc w:val="left"/>
        <w:textAlignment w:val="auto"/>
        <w:rPr>
          <w:rFonts w:hint="eastAsia" w:ascii="宋体" w:hAnsi="宋体" w:eastAsia="宋体" w:cs="宋体"/>
        </w:rPr>
      </w:pPr>
      <w:r>
        <w:rPr>
          <w:rFonts w:hint="eastAsia" w:ascii="宋体" w:hAnsi="宋体" w:eastAsia="宋体" w:cs="宋体"/>
          <w:color w:val="000000"/>
          <w:lang w:val="zh-CN" w:bidi="zh-CN"/>
        </w:rPr>
        <w:t>其他评分因素：见评标办法前附表。</w:t>
      </w:r>
    </w:p>
    <w:p>
      <w:pPr>
        <w:pStyle w:val="6"/>
        <w:keepNext/>
        <w:keepLines/>
        <w:pageBreakBefore w:val="0"/>
        <w:shd w:val="clear" w:color="auto" w:fill="auto"/>
        <w:kinsoku/>
        <w:wordWrap w:val="0"/>
        <w:overflowPunct/>
        <w:topLinePunct w:val="0"/>
        <w:bidi w:val="0"/>
        <w:spacing w:before="0" w:beforeLines="0" w:after="0" w:afterLines="0" w:line="398" w:lineRule="exact"/>
        <w:ind w:left="500" w:right="5460"/>
        <w:jc w:val="left"/>
        <w:textAlignment w:val="auto"/>
        <w:rPr>
          <w:rStyle w:val="19"/>
          <w:rFonts w:hint="eastAsia" w:ascii="宋体" w:hAnsi="宋体" w:eastAsia="宋体" w:cs="宋体"/>
          <w:b/>
          <w:bCs/>
          <w:sz w:val="21"/>
          <w:szCs w:val="22"/>
        </w:rPr>
      </w:pPr>
      <w:r>
        <w:rPr>
          <w:rStyle w:val="19"/>
          <w:rFonts w:hint="eastAsia" w:ascii="宋体" w:hAnsi="宋体" w:eastAsia="宋体" w:cs="宋体"/>
          <w:b/>
          <w:bCs/>
          <w:sz w:val="21"/>
          <w:szCs w:val="22"/>
        </w:rPr>
        <w:t>2.2.2评标基准价计算：</w:t>
      </w:r>
    </w:p>
    <w:p>
      <w:pPr>
        <w:pStyle w:val="6"/>
        <w:keepNext/>
        <w:keepLines/>
        <w:pageBreakBefore w:val="0"/>
        <w:shd w:val="clear" w:color="auto" w:fill="auto"/>
        <w:kinsoku/>
        <w:wordWrap w:val="0"/>
        <w:overflowPunct/>
        <w:topLinePunct w:val="0"/>
        <w:bidi w:val="0"/>
        <w:spacing w:before="0" w:beforeLines="0" w:after="0" w:afterLines="0" w:line="398" w:lineRule="exact"/>
        <w:ind w:left="500" w:right="5460" w:firstLine="660" w:firstLineChars="300"/>
        <w:jc w:val="left"/>
        <w:textAlignment w:val="auto"/>
        <w:rPr>
          <w:rFonts w:hint="eastAsia" w:ascii="宋体" w:hAnsi="宋体" w:eastAsia="宋体" w:cs="宋体"/>
          <w:b w:val="0"/>
          <w:bCs w:val="0"/>
          <w:color w:val="000000"/>
          <w:sz w:val="22"/>
          <w:szCs w:val="22"/>
          <w:lang w:val="zh-CN" w:bidi="zh-CN"/>
        </w:rPr>
      </w:pPr>
      <w:r>
        <w:rPr>
          <w:rFonts w:hint="eastAsia" w:ascii="宋体" w:hAnsi="宋体" w:eastAsia="宋体" w:cs="宋体"/>
          <w:b w:val="0"/>
          <w:bCs w:val="0"/>
          <w:color w:val="000000"/>
          <w:sz w:val="22"/>
          <w:szCs w:val="22"/>
          <w:lang w:val="zh-CN" w:bidi="zh-CN"/>
        </w:rPr>
        <w:t>见评标办法前附表</w:t>
      </w:r>
    </w:p>
    <w:p>
      <w:pPr>
        <w:pStyle w:val="6"/>
        <w:keepNext/>
        <w:keepLines/>
        <w:pageBreakBefore w:val="0"/>
        <w:shd w:val="clear" w:color="auto" w:fill="auto"/>
        <w:kinsoku/>
        <w:wordWrap w:val="0"/>
        <w:overflowPunct/>
        <w:topLinePunct w:val="0"/>
        <w:bidi w:val="0"/>
        <w:spacing w:before="0" w:beforeLines="0" w:after="0" w:afterLines="0" w:line="398" w:lineRule="exact"/>
        <w:ind w:left="500" w:right="5460"/>
        <w:jc w:val="left"/>
        <w:textAlignment w:val="auto"/>
        <w:rPr>
          <w:rStyle w:val="19"/>
          <w:rFonts w:hint="eastAsia" w:ascii="宋体" w:hAnsi="宋体" w:eastAsia="宋体" w:cs="宋体"/>
          <w:b/>
          <w:bCs/>
          <w:sz w:val="21"/>
          <w:szCs w:val="22"/>
        </w:rPr>
      </w:pPr>
      <w:r>
        <w:rPr>
          <w:rStyle w:val="19"/>
          <w:rFonts w:hint="eastAsia" w:ascii="宋体" w:hAnsi="宋体" w:eastAsia="宋体" w:cs="宋体"/>
          <w:b/>
          <w:bCs/>
          <w:sz w:val="21"/>
          <w:szCs w:val="22"/>
        </w:rPr>
        <w:t>2.2.3评标价的偏差率计算</w:t>
      </w:r>
    </w:p>
    <w:p>
      <w:pPr>
        <w:pStyle w:val="10"/>
        <w:pageBreakBefore w:val="0"/>
        <w:shd w:val="clear" w:color="auto" w:fill="auto"/>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评标价的偏差率计算公式：见评标办法前附表。</w:t>
      </w:r>
    </w:p>
    <w:p>
      <w:pPr>
        <w:pStyle w:val="10"/>
        <w:pageBreakBefore w:val="0"/>
        <w:shd w:val="clear" w:color="auto" w:fill="auto"/>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Style w:val="19"/>
          <w:rFonts w:hint="eastAsia" w:ascii="宋体" w:hAnsi="宋体" w:eastAsia="宋体" w:cs="宋体"/>
          <w:b w:val="0"/>
          <w:bCs w:val="0"/>
          <w:sz w:val="21"/>
          <w:szCs w:val="22"/>
          <w:lang w:val="en-US" w:eastAsia="en-US"/>
        </w:rPr>
        <w:t>2.2.4</w:t>
      </w:r>
      <w:r>
        <w:rPr>
          <w:rStyle w:val="20"/>
          <w:rFonts w:hint="eastAsia" w:ascii="宋体" w:hAnsi="宋体" w:eastAsia="宋体" w:cs="宋体"/>
          <w:b w:val="0"/>
          <w:bCs w:val="0"/>
        </w:rPr>
        <w:t>评分标准</w:t>
      </w:r>
    </w:p>
    <w:p>
      <w:pPr>
        <w:pStyle w:val="10"/>
        <w:pageBreakBefore w:val="0"/>
        <w:numPr>
          <w:ilvl w:val="0"/>
          <w:numId w:val="3"/>
        </w:numPr>
        <w:shd w:val="clear" w:color="auto" w:fill="auto"/>
        <w:tabs>
          <w:tab w:val="left" w:pos="1169"/>
        </w:tabs>
        <w:kinsoku/>
        <w:wordWrap w:val="0"/>
        <w:overflowPunct/>
        <w:topLinePunct w:val="0"/>
        <w:bidi w:val="0"/>
        <w:spacing w:before="0" w:beforeLines="0" w:after="0" w:afterLines="0" w:line="398" w:lineRule="exact"/>
        <w:ind w:left="640"/>
        <w:jc w:val="left"/>
        <w:textAlignment w:val="auto"/>
        <w:rPr>
          <w:rFonts w:hint="eastAsia" w:ascii="宋体" w:hAnsi="宋体" w:eastAsia="宋体" w:cs="宋体"/>
        </w:rPr>
      </w:pPr>
      <w:r>
        <w:rPr>
          <w:rFonts w:hint="eastAsia" w:ascii="宋体" w:hAnsi="宋体" w:eastAsia="宋体" w:cs="宋体"/>
          <w:color w:val="000000"/>
          <w:lang w:val="zh-CN" w:bidi="zh-CN"/>
        </w:rPr>
        <w:t>技术建议书评分标准：见评标办法前附表;</w:t>
      </w:r>
    </w:p>
    <w:p>
      <w:pPr>
        <w:pStyle w:val="10"/>
        <w:pageBreakBefore w:val="0"/>
        <w:numPr>
          <w:ilvl w:val="0"/>
          <w:numId w:val="3"/>
        </w:numPr>
        <w:shd w:val="clear" w:color="auto" w:fill="auto"/>
        <w:tabs>
          <w:tab w:val="left" w:pos="1169"/>
        </w:tabs>
        <w:kinsoku/>
        <w:wordWrap w:val="0"/>
        <w:overflowPunct/>
        <w:topLinePunct w:val="0"/>
        <w:bidi w:val="0"/>
        <w:spacing w:before="0" w:beforeLines="0" w:after="0" w:afterLines="0" w:line="398" w:lineRule="exact"/>
        <w:ind w:left="640"/>
        <w:jc w:val="left"/>
        <w:textAlignment w:val="auto"/>
        <w:rPr>
          <w:rFonts w:hint="eastAsia" w:ascii="宋体" w:hAnsi="宋体" w:eastAsia="宋体" w:cs="宋体"/>
        </w:rPr>
      </w:pPr>
      <w:r>
        <w:rPr>
          <w:rFonts w:hint="eastAsia" w:ascii="宋体" w:hAnsi="宋体" w:eastAsia="宋体" w:cs="宋体"/>
          <w:color w:val="000000"/>
          <w:lang w:val="zh-CN" w:bidi="zh-CN"/>
        </w:rPr>
        <w:t>主要人员评分标准：见评标办法前附表；</w:t>
      </w:r>
    </w:p>
    <w:p>
      <w:pPr>
        <w:pStyle w:val="10"/>
        <w:pageBreakBefore w:val="0"/>
        <w:numPr>
          <w:ilvl w:val="0"/>
          <w:numId w:val="3"/>
        </w:numPr>
        <w:shd w:val="clear" w:color="auto" w:fill="auto"/>
        <w:tabs>
          <w:tab w:val="left" w:pos="1169"/>
        </w:tabs>
        <w:kinsoku/>
        <w:wordWrap w:val="0"/>
        <w:overflowPunct/>
        <w:topLinePunct w:val="0"/>
        <w:bidi w:val="0"/>
        <w:spacing w:before="0" w:beforeLines="0" w:after="0" w:afterLines="0" w:line="398" w:lineRule="exact"/>
        <w:ind w:left="640"/>
        <w:jc w:val="left"/>
        <w:textAlignment w:val="auto"/>
        <w:rPr>
          <w:rFonts w:hint="eastAsia" w:ascii="宋体" w:hAnsi="宋体" w:eastAsia="宋体" w:cs="宋体"/>
        </w:rPr>
      </w:pPr>
      <w:r>
        <w:rPr>
          <w:rFonts w:hint="eastAsia" w:ascii="宋体" w:hAnsi="宋体" w:eastAsia="宋体" w:cs="宋体"/>
          <w:color w:val="000000"/>
          <w:lang w:val="zh-CN" w:bidi="zh-CN"/>
        </w:rPr>
        <w:t>评标价评分标准：见评标办法前附表；</w:t>
      </w:r>
    </w:p>
    <w:p>
      <w:pPr>
        <w:pStyle w:val="10"/>
        <w:pageBreakBefore w:val="0"/>
        <w:numPr>
          <w:ilvl w:val="0"/>
          <w:numId w:val="3"/>
        </w:numPr>
        <w:shd w:val="clear" w:color="auto" w:fill="auto"/>
        <w:tabs>
          <w:tab w:val="left" w:pos="1169"/>
        </w:tabs>
        <w:kinsoku/>
        <w:wordWrap w:val="0"/>
        <w:overflowPunct/>
        <w:topLinePunct w:val="0"/>
        <w:bidi w:val="0"/>
        <w:spacing w:before="0" w:beforeLines="0" w:after="0" w:afterLines="0" w:line="398" w:lineRule="exact"/>
        <w:ind w:left="640"/>
        <w:jc w:val="left"/>
        <w:textAlignment w:val="auto"/>
        <w:rPr>
          <w:rFonts w:hint="eastAsia" w:ascii="宋体" w:hAnsi="宋体" w:eastAsia="宋体" w:cs="宋体"/>
        </w:rPr>
      </w:pPr>
      <w:r>
        <w:rPr>
          <w:rFonts w:hint="eastAsia" w:ascii="宋体" w:hAnsi="宋体" w:eastAsia="宋体" w:cs="宋体"/>
          <w:color w:val="000000"/>
          <w:lang w:val="zh-CN" w:bidi="zh-CN"/>
        </w:rPr>
        <w:t>其他因素评分标准：见评标办法前附表。</w:t>
      </w:r>
    </w:p>
    <w:p>
      <w:pPr>
        <w:pStyle w:val="7"/>
        <w:keepNext/>
        <w:keepLines/>
        <w:pageBreakBefore w:val="0"/>
        <w:numPr>
          <w:ilvl w:val="0"/>
          <w:numId w:val="1"/>
        </w:numPr>
        <w:shd w:val="clear" w:color="auto" w:fill="auto"/>
        <w:kinsoku/>
        <w:wordWrap w:val="0"/>
        <w:overflowPunct/>
        <w:topLinePunct w:val="0"/>
        <w:bidi w:val="0"/>
        <w:spacing w:before="0" w:beforeLines="0" w:after="324" w:afterLines="0"/>
        <w:jc w:val="left"/>
        <w:textAlignment w:val="auto"/>
        <w:rPr>
          <w:rFonts w:hint="eastAsia" w:ascii="宋体" w:hAnsi="宋体" w:eastAsia="宋体" w:cs="宋体"/>
          <w:b/>
          <w:bCs/>
        </w:rPr>
      </w:pPr>
      <w:r>
        <w:rPr>
          <w:rFonts w:hint="eastAsia" w:ascii="宋体" w:hAnsi="宋体" w:eastAsia="宋体" w:cs="宋体"/>
          <w:b/>
          <w:bCs/>
          <w:color w:val="000000"/>
          <w:lang w:val="zh-CN" w:bidi="zh-CN"/>
        </w:rPr>
        <w:t>评标程序</w:t>
      </w:r>
    </w:p>
    <w:p>
      <w:pPr>
        <w:pStyle w:val="6"/>
        <w:keepNext/>
        <w:keepLines/>
        <w:pageBreakBefore w:val="0"/>
        <w:shd w:val="clear" w:color="auto" w:fill="auto"/>
        <w:kinsoku/>
        <w:wordWrap w:val="0"/>
        <w:overflowPunct/>
        <w:topLinePunct w:val="0"/>
        <w:bidi w:val="0"/>
        <w:spacing w:before="0" w:beforeLines="0" w:after="283" w:afterLines="0"/>
        <w:jc w:val="left"/>
        <w:textAlignment w:val="auto"/>
        <w:rPr>
          <w:rFonts w:hint="eastAsia" w:ascii="宋体" w:hAnsi="宋体" w:eastAsia="宋体" w:cs="宋体"/>
        </w:rPr>
      </w:pPr>
      <w:r>
        <w:rPr>
          <w:rStyle w:val="19"/>
          <w:rFonts w:hint="eastAsia" w:ascii="宋体" w:hAnsi="宋体" w:eastAsia="宋体" w:cs="宋体"/>
          <w:b/>
          <w:bCs/>
          <w:lang w:val="en-US" w:eastAsia="en-US" w:bidi="en-US"/>
        </w:rPr>
        <w:t>3.1</w:t>
      </w:r>
      <w:r>
        <w:rPr>
          <w:rStyle w:val="19"/>
          <w:rFonts w:hint="eastAsia" w:ascii="宋体" w:hAnsi="宋体" w:eastAsia="宋体" w:cs="宋体"/>
          <w:b/>
          <w:bCs/>
        </w:rPr>
        <w:t>第一个信封初步评审</w:t>
      </w:r>
    </w:p>
    <w:p>
      <w:pPr>
        <w:pageBreakBefore w:val="0"/>
        <w:kinsoku/>
        <w:wordWrap w:val="0"/>
        <w:overflowPunct/>
        <w:topLinePunct w:val="0"/>
        <w:bidi w:val="0"/>
        <w:spacing w:line="360" w:lineRule="auto"/>
        <w:textAlignment w:val="auto"/>
        <w:outlineLvl w:val="1"/>
        <w:rPr>
          <w:rFonts w:hint="eastAsia" w:ascii="宋体" w:hAnsi="宋体" w:cs="宋体"/>
          <w:color w:val="000000"/>
          <w:sz w:val="22"/>
          <w:szCs w:val="22"/>
          <w:lang w:val="zh-CN" w:bidi="zh-CN"/>
        </w:rPr>
      </w:pPr>
      <w:r>
        <w:rPr>
          <w:rFonts w:hint="eastAsia" w:ascii="宋体" w:hAnsi="宋体" w:cs="宋体"/>
          <w:color w:val="000000"/>
          <w:lang w:bidi="en-US"/>
        </w:rPr>
        <w:t>3</w:t>
      </w:r>
      <w:r>
        <w:rPr>
          <w:rFonts w:hint="eastAsia" w:ascii="宋体" w:hAnsi="宋体" w:cs="宋体"/>
          <w:color w:val="000000"/>
          <w:sz w:val="22"/>
          <w:szCs w:val="22"/>
          <w:lang w:val="zh-CN" w:bidi="zh-CN"/>
        </w:rPr>
        <w:t>.1.1评标委员会可以要求投标人提交第二章“投标人须知”第3.5.1项至第3.5.5 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pPr>
        <w:pStyle w:val="6"/>
        <w:keepNext/>
        <w:keepLines/>
        <w:pageBreakBefore w:val="0"/>
        <w:shd w:val="clear" w:color="auto" w:fill="auto"/>
        <w:kinsoku/>
        <w:wordWrap w:val="0"/>
        <w:overflowPunct/>
        <w:topLinePunct w:val="0"/>
        <w:bidi w:val="0"/>
        <w:spacing w:before="0" w:beforeLines="0" w:after="283" w:afterLines="0"/>
        <w:jc w:val="left"/>
        <w:textAlignment w:val="auto"/>
        <w:rPr>
          <w:rFonts w:hint="eastAsia" w:ascii="宋体" w:hAnsi="宋体" w:eastAsia="宋体" w:cs="宋体"/>
        </w:rPr>
      </w:pPr>
      <w:r>
        <w:rPr>
          <w:rStyle w:val="19"/>
          <w:rFonts w:hint="eastAsia" w:ascii="宋体" w:hAnsi="宋体" w:eastAsia="宋体" w:cs="宋体"/>
          <w:b/>
          <w:bCs/>
          <w:lang w:val="en-US" w:bidi="en-US"/>
        </w:rPr>
        <w:t>3.2</w:t>
      </w:r>
      <w:r>
        <w:rPr>
          <w:rStyle w:val="19"/>
          <w:rFonts w:hint="eastAsia" w:ascii="宋体" w:hAnsi="宋体" w:eastAsia="宋体" w:cs="宋体"/>
          <w:b/>
          <w:bCs/>
        </w:rPr>
        <w:t>第一个信封详细评审</w:t>
      </w:r>
    </w:p>
    <w:p>
      <w:pPr>
        <w:pStyle w:val="10"/>
        <w:pageBreakBefore w:val="0"/>
        <w:shd w:val="clear" w:color="auto" w:fill="auto"/>
        <w:kinsoku/>
        <w:wordWrap w:val="0"/>
        <w:overflowPunct/>
        <w:topLinePunct w:val="0"/>
        <w:bidi w:val="0"/>
        <w:spacing w:before="0" w:beforeLines="0" w:after="0" w:afterLines="0" w:line="401" w:lineRule="exact"/>
        <w:ind w:firstLine="520"/>
        <w:jc w:val="both"/>
        <w:textAlignment w:val="auto"/>
        <w:rPr>
          <w:rFonts w:hint="eastAsia" w:ascii="宋体" w:hAnsi="宋体" w:eastAsia="宋体" w:cs="宋体"/>
        </w:rPr>
      </w:pPr>
      <w:r>
        <w:rPr>
          <w:rFonts w:hint="eastAsia" w:ascii="宋体" w:hAnsi="宋体" w:eastAsia="宋体" w:cs="宋体"/>
          <w:color w:val="000000"/>
          <w:lang w:bidi="en-US"/>
        </w:rPr>
        <w:t>3.2.1</w:t>
      </w:r>
      <w:r>
        <w:rPr>
          <w:rFonts w:hint="eastAsia" w:ascii="宋体" w:hAnsi="宋体" w:eastAsia="宋体" w:cs="宋体"/>
          <w:color w:val="000000"/>
          <w:lang w:val="zh-CN" w:bidi="zh-CN"/>
        </w:rPr>
        <w:t>评标委员会按本章第</w:t>
      </w:r>
      <w:r>
        <w:rPr>
          <w:rFonts w:hint="eastAsia" w:ascii="宋体" w:hAnsi="宋体" w:eastAsia="宋体" w:cs="宋体"/>
          <w:color w:val="000000"/>
          <w:lang w:bidi="en-US"/>
        </w:rPr>
        <w:t>2.2</w:t>
      </w:r>
      <w:r>
        <w:rPr>
          <w:rFonts w:hint="eastAsia" w:ascii="宋体" w:hAnsi="宋体" w:eastAsia="宋体" w:cs="宋体"/>
          <w:color w:val="000000"/>
          <w:lang w:val="zh-CN" w:bidi="zh-CN"/>
        </w:rPr>
        <w:t>款规定的量化因素和分值进行打分，并计算出各投标人的商务和技术得分。</w:t>
      </w:r>
    </w:p>
    <w:p>
      <w:pPr>
        <w:pStyle w:val="10"/>
        <w:pageBreakBefore w:val="0"/>
        <w:shd w:val="clear" w:color="auto" w:fill="auto"/>
        <w:tabs>
          <w:tab w:val="left" w:pos="1136"/>
        </w:tabs>
        <w:kinsoku/>
        <w:wordWrap w:val="0"/>
        <w:overflowPunct/>
        <w:topLinePunct w:val="0"/>
        <w:bidi w:val="0"/>
        <w:spacing w:before="0" w:beforeLines="0" w:after="0" w:afterLines="0" w:line="401" w:lineRule="exact"/>
        <w:jc w:val="left"/>
        <w:textAlignment w:val="auto"/>
        <w:rPr>
          <w:rFonts w:hint="eastAsia" w:ascii="宋体" w:hAnsi="宋体" w:eastAsia="宋体" w:cs="宋体"/>
        </w:rPr>
      </w:pPr>
      <w:r>
        <w:rPr>
          <w:rFonts w:hint="eastAsia" w:ascii="宋体" w:hAnsi="宋体" w:eastAsia="宋体" w:cs="宋体"/>
          <w:color w:val="000000"/>
          <w:lang w:bidi="en-US"/>
        </w:rPr>
        <w:t>（1）</w:t>
      </w:r>
      <w:r>
        <w:rPr>
          <w:rFonts w:hint="eastAsia" w:ascii="宋体" w:hAnsi="宋体" w:eastAsia="宋体" w:cs="宋体"/>
          <w:color w:val="000000"/>
          <w:lang w:val="zh-CN" w:bidi="zh-CN"/>
        </w:rPr>
        <w:t>按本章第</w:t>
      </w:r>
      <w:r>
        <w:rPr>
          <w:rFonts w:hint="eastAsia" w:ascii="宋体" w:hAnsi="宋体" w:eastAsia="宋体" w:cs="宋体"/>
          <w:color w:val="000000"/>
          <w:lang w:bidi="en-US"/>
        </w:rPr>
        <w:t>2.2.4</w:t>
      </w:r>
      <w:r>
        <w:rPr>
          <w:rFonts w:hint="eastAsia" w:ascii="宋体" w:hAnsi="宋体" w:eastAsia="宋体" w:cs="宋体"/>
          <w:color w:val="000000"/>
          <w:lang w:val="zh-CN" w:bidi="zh-CN"/>
        </w:rPr>
        <w:t>项</w:t>
      </w:r>
      <w:r>
        <w:rPr>
          <w:rFonts w:hint="eastAsia" w:ascii="宋体" w:hAnsi="宋体" w:eastAsia="宋体" w:cs="宋体"/>
          <w:color w:val="000000"/>
          <w:lang w:bidi="en-US"/>
        </w:rPr>
        <w:t>（1）</w:t>
      </w:r>
      <w:r>
        <w:rPr>
          <w:rFonts w:hint="eastAsia" w:ascii="宋体" w:hAnsi="宋体" w:eastAsia="宋体" w:cs="宋体"/>
          <w:color w:val="000000"/>
          <w:lang w:val="zh-CN" w:bidi="zh-CN"/>
        </w:rPr>
        <w:t>目规定的评审因素和分值对技术建议书部分计算出得分</w:t>
      </w:r>
      <w:r>
        <w:rPr>
          <w:rStyle w:val="15"/>
          <w:rFonts w:hint="eastAsia" w:ascii="宋体" w:hAnsi="宋体" w:eastAsia="宋体" w:cs="宋体"/>
          <w:lang w:eastAsia="zh-CN"/>
        </w:rPr>
        <w:t>A</w:t>
      </w:r>
      <w:r>
        <w:rPr>
          <w:rFonts w:hint="eastAsia" w:ascii="宋体" w:hAnsi="宋体" w:eastAsia="宋体" w:cs="宋体"/>
          <w:color w:val="000000"/>
          <w:lang w:bidi="en-US"/>
        </w:rPr>
        <w:t>;</w:t>
      </w:r>
    </w:p>
    <w:p>
      <w:pPr>
        <w:pStyle w:val="10"/>
        <w:pageBreakBefore w:val="0"/>
        <w:shd w:val="clear" w:color="auto" w:fill="auto"/>
        <w:tabs>
          <w:tab w:val="left" w:pos="1169"/>
        </w:tabs>
        <w:kinsoku/>
        <w:wordWrap w:val="0"/>
        <w:overflowPunct/>
        <w:topLinePunct w:val="0"/>
        <w:bidi w:val="0"/>
        <w:spacing w:before="0" w:beforeLines="0" w:after="0" w:afterLines="0" w:line="401" w:lineRule="exact"/>
        <w:jc w:val="both"/>
        <w:textAlignment w:val="auto"/>
        <w:rPr>
          <w:rFonts w:hint="eastAsia" w:ascii="宋体" w:hAnsi="宋体" w:eastAsia="宋体" w:cs="宋体"/>
        </w:rPr>
      </w:pPr>
      <w:r>
        <w:rPr>
          <w:rFonts w:hint="eastAsia" w:ascii="宋体" w:hAnsi="宋体" w:eastAsia="宋体" w:cs="宋体"/>
          <w:color w:val="000000"/>
          <w:lang w:bidi="en-US"/>
        </w:rPr>
        <w:t>（2）</w:t>
      </w:r>
      <w:r>
        <w:rPr>
          <w:rFonts w:hint="eastAsia" w:ascii="宋体" w:hAnsi="宋体" w:eastAsia="宋体" w:cs="宋体"/>
          <w:color w:val="000000"/>
          <w:lang w:val="zh-CN" w:bidi="zh-CN"/>
        </w:rPr>
        <w:t>按本章第</w:t>
      </w:r>
      <w:r>
        <w:rPr>
          <w:rFonts w:hint="eastAsia" w:ascii="宋体" w:hAnsi="宋体" w:eastAsia="宋体" w:cs="宋体"/>
          <w:color w:val="000000"/>
          <w:lang w:bidi="en-US"/>
        </w:rPr>
        <w:t>2.2.4</w:t>
      </w:r>
      <w:r>
        <w:rPr>
          <w:rFonts w:hint="eastAsia" w:ascii="宋体" w:hAnsi="宋体" w:eastAsia="宋体" w:cs="宋体"/>
          <w:color w:val="000000"/>
          <w:lang w:val="zh-CN" w:bidi="zh-CN"/>
        </w:rPr>
        <w:t>项</w:t>
      </w:r>
      <w:r>
        <w:rPr>
          <w:rFonts w:hint="eastAsia" w:ascii="宋体" w:hAnsi="宋体" w:eastAsia="宋体" w:cs="宋体"/>
          <w:color w:val="000000"/>
          <w:lang w:bidi="en-US"/>
        </w:rPr>
        <w:t>（2）</w:t>
      </w:r>
      <w:r>
        <w:rPr>
          <w:rFonts w:hint="eastAsia" w:ascii="宋体" w:hAnsi="宋体" w:eastAsia="宋体" w:cs="宋体"/>
          <w:color w:val="000000"/>
          <w:lang w:val="zh-CN" w:bidi="zh-CN"/>
        </w:rPr>
        <w:t>目规定的评审因素和分值对主要人员部分计算出得分</w:t>
      </w:r>
      <w:r>
        <w:rPr>
          <w:rStyle w:val="15"/>
          <w:rFonts w:hint="eastAsia" w:ascii="宋体" w:hAnsi="宋体" w:eastAsia="宋体" w:cs="宋体"/>
          <w:lang w:eastAsia="zh-CN"/>
        </w:rPr>
        <w:t>B</w:t>
      </w:r>
      <w:r>
        <w:rPr>
          <w:rFonts w:hint="eastAsia" w:ascii="宋体" w:hAnsi="宋体" w:eastAsia="宋体" w:cs="宋体"/>
          <w:color w:val="000000"/>
          <w:lang w:bidi="en-US"/>
        </w:rPr>
        <w:t>;</w:t>
      </w:r>
    </w:p>
    <w:p>
      <w:pPr>
        <w:pStyle w:val="10"/>
        <w:pageBreakBefore w:val="0"/>
        <w:shd w:val="clear" w:color="auto" w:fill="auto"/>
        <w:tabs>
          <w:tab w:val="left" w:pos="1176"/>
        </w:tabs>
        <w:kinsoku/>
        <w:wordWrap w:val="0"/>
        <w:overflowPunct/>
        <w:topLinePunct w:val="0"/>
        <w:bidi w:val="0"/>
        <w:spacing w:before="0" w:beforeLines="0" w:after="0" w:afterLines="0" w:line="401" w:lineRule="exact"/>
        <w:jc w:val="left"/>
        <w:textAlignment w:val="auto"/>
        <w:rPr>
          <w:rFonts w:hint="eastAsia" w:ascii="宋体" w:hAnsi="宋体" w:eastAsia="宋体" w:cs="宋体"/>
          <w:color w:val="000000"/>
          <w:lang w:bidi="en-US"/>
        </w:rPr>
      </w:pPr>
      <w:r>
        <w:rPr>
          <w:rFonts w:hint="eastAsia" w:ascii="宋体" w:hAnsi="宋体" w:eastAsia="宋体" w:cs="宋体"/>
          <w:color w:val="000000"/>
          <w:lang w:bidi="en-US"/>
        </w:rPr>
        <w:t>（3）</w:t>
      </w:r>
      <w:r>
        <w:rPr>
          <w:rFonts w:hint="eastAsia" w:ascii="宋体" w:hAnsi="宋体" w:eastAsia="宋体" w:cs="宋体"/>
          <w:color w:val="000000"/>
          <w:lang w:val="zh-CN" w:bidi="zh-CN"/>
        </w:rPr>
        <w:t>按本章第</w:t>
      </w:r>
      <w:r>
        <w:rPr>
          <w:rFonts w:hint="eastAsia" w:ascii="宋体" w:hAnsi="宋体" w:eastAsia="宋体" w:cs="宋体"/>
          <w:color w:val="000000"/>
          <w:lang w:bidi="en-US"/>
        </w:rPr>
        <w:t>2.2.4</w:t>
      </w:r>
      <w:r>
        <w:rPr>
          <w:rFonts w:hint="eastAsia" w:ascii="宋体" w:hAnsi="宋体" w:eastAsia="宋体" w:cs="宋体"/>
          <w:color w:val="000000"/>
          <w:lang w:val="zh-CN" w:bidi="zh-CN"/>
        </w:rPr>
        <w:t>项</w:t>
      </w:r>
      <w:r>
        <w:rPr>
          <w:rFonts w:hint="eastAsia" w:ascii="宋体" w:hAnsi="宋体" w:eastAsia="宋体" w:cs="宋体"/>
          <w:color w:val="000000"/>
          <w:lang w:bidi="en-US"/>
        </w:rPr>
        <w:t>（4）</w:t>
      </w:r>
      <w:r>
        <w:rPr>
          <w:rFonts w:hint="eastAsia" w:ascii="宋体" w:hAnsi="宋体" w:eastAsia="宋体" w:cs="宋体"/>
          <w:color w:val="000000"/>
          <w:lang w:val="zh-CN" w:bidi="zh-CN"/>
        </w:rPr>
        <w:t>目规定的评审因素和分值对其他部分计算出得分</w:t>
      </w:r>
      <w:r>
        <w:rPr>
          <w:rStyle w:val="15"/>
          <w:rFonts w:hint="eastAsia" w:ascii="宋体" w:hAnsi="宋体" w:eastAsia="宋体" w:cs="宋体"/>
          <w:lang w:eastAsia="zh-CN"/>
        </w:rPr>
        <w:t>D</w:t>
      </w:r>
      <w:r>
        <w:rPr>
          <w:rFonts w:hint="eastAsia" w:ascii="宋体" w:hAnsi="宋体" w:eastAsia="宋体" w:cs="宋体"/>
          <w:color w:val="000000"/>
          <w:lang w:bidi="en-US"/>
        </w:rPr>
        <w:t>。</w:t>
      </w:r>
    </w:p>
    <w:p>
      <w:pPr>
        <w:pStyle w:val="10"/>
        <w:pageBreakBefore w:val="0"/>
        <w:shd w:val="clear" w:color="auto" w:fill="auto"/>
        <w:tabs>
          <w:tab w:val="left" w:pos="1176"/>
        </w:tabs>
        <w:kinsoku/>
        <w:wordWrap w:val="0"/>
        <w:overflowPunct/>
        <w:topLinePunct w:val="0"/>
        <w:bidi w:val="0"/>
        <w:spacing w:before="0" w:beforeLines="0" w:after="0" w:afterLines="0" w:line="401" w:lineRule="exact"/>
        <w:ind w:firstLine="660" w:firstLineChars="300"/>
        <w:jc w:val="left"/>
        <w:textAlignment w:val="auto"/>
        <w:rPr>
          <w:rFonts w:hint="eastAsia" w:ascii="宋体" w:hAnsi="宋体" w:eastAsia="宋体" w:cs="宋体"/>
        </w:rPr>
      </w:pPr>
      <w:r>
        <w:rPr>
          <w:rFonts w:hint="eastAsia" w:ascii="宋体" w:hAnsi="宋体" w:eastAsia="宋体" w:cs="宋体"/>
          <w:color w:val="000000"/>
          <w:lang w:bidi="en-US"/>
        </w:rPr>
        <w:t>3.2.2</w:t>
      </w:r>
      <w:r>
        <w:rPr>
          <w:rFonts w:hint="eastAsia" w:ascii="宋体" w:hAnsi="宋体" w:eastAsia="宋体" w:cs="宋体"/>
          <w:color w:val="000000"/>
          <w:lang w:val="zh-CN" w:bidi="zh-CN"/>
        </w:rPr>
        <w:t>投标人的商务和技术得分分值计算保留小数点后两位，小数点后第三位“四舍五入”。</w:t>
      </w:r>
    </w:p>
    <w:p>
      <w:pPr>
        <w:pStyle w:val="10"/>
        <w:pageBreakBefore w:val="0"/>
        <w:shd w:val="clear" w:color="auto" w:fill="auto"/>
        <w:kinsoku/>
        <w:wordWrap w:val="0"/>
        <w:overflowPunct/>
        <w:topLinePunct w:val="0"/>
        <w:bidi w:val="0"/>
        <w:spacing w:before="0" w:beforeLines="0" w:after="277" w:afterLines="0" w:line="401" w:lineRule="exact"/>
        <w:ind w:firstLine="520"/>
        <w:jc w:val="both"/>
        <w:textAlignment w:val="auto"/>
        <w:rPr>
          <w:rFonts w:hint="eastAsia" w:ascii="宋体" w:hAnsi="宋体" w:eastAsia="宋体" w:cs="宋体"/>
        </w:rPr>
      </w:pPr>
      <w:r>
        <w:rPr>
          <w:rFonts w:hint="eastAsia" w:ascii="宋体" w:hAnsi="宋体" w:eastAsia="宋体" w:cs="宋体"/>
          <w:color w:val="000000"/>
          <w:lang w:bidi="en-US"/>
        </w:rPr>
        <w:t>3.2.3</w:t>
      </w:r>
      <w:r>
        <w:rPr>
          <w:rFonts w:hint="eastAsia" w:ascii="宋体" w:hAnsi="宋体" w:eastAsia="宋体" w:cs="宋体"/>
          <w:color w:val="000000"/>
          <w:lang w:val="zh-CN" w:bidi="zh-CN"/>
        </w:rPr>
        <w:t>投标人的商务和技术得分</w:t>
      </w:r>
      <w:r>
        <w:rPr>
          <w:rFonts w:hint="eastAsia" w:ascii="宋体" w:hAnsi="宋体" w:eastAsia="宋体" w:cs="宋体"/>
          <w:color w:val="000000"/>
          <w:lang w:bidi="en-US"/>
        </w:rPr>
        <w:t>=</w:t>
      </w:r>
      <w:r>
        <w:rPr>
          <w:rStyle w:val="15"/>
          <w:rFonts w:hint="eastAsia" w:ascii="宋体" w:hAnsi="宋体" w:eastAsia="宋体" w:cs="宋体"/>
          <w:lang w:eastAsia="zh-CN"/>
        </w:rPr>
        <w:t>A</w:t>
      </w:r>
      <w:r>
        <w:rPr>
          <w:rFonts w:hint="eastAsia" w:ascii="宋体" w:hAnsi="宋体" w:eastAsia="宋体" w:cs="宋体"/>
          <w:color w:val="000000"/>
          <w:lang w:bidi="en-US"/>
        </w:rPr>
        <w:t>+</w:t>
      </w:r>
      <w:r>
        <w:rPr>
          <w:rStyle w:val="15"/>
          <w:rFonts w:hint="eastAsia" w:ascii="宋体" w:hAnsi="宋体" w:eastAsia="宋体" w:cs="宋体"/>
          <w:lang w:eastAsia="zh-CN"/>
        </w:rPr>
        <w:t>B</w:t>
      </w:r>
      <w:r>
        <w:rPr>
          <w:rFonts w:hint="eastAsia" w:ascii="宋体" w:hAnsi="宋体" w:eastAsia="宋体" w:cs="宋体"/>
          <w:color w:val="000000"/>
          <w:lang w:bidi="en-US"/>
        </w:rPr>
        <w:t>+</w:t>
      </w:r>
      <w:r>
        <w:rPr>
          <w:rStyle w:val="15"/>
          <w:rFonts w:hint="eastAsia" w:ascii="宋体" w:hAnsi="宋体" w:eastAsia="宋体" w:cs="宋体"/>
          <w:lang w:eastAsia="zh-CN"/>
        </w:rPr>
        <w:t>D</w:t>
      </w:r>
      <w:r>
        <w:rPr>
          <w:rFonts w:hint="eastAsia" w:ascii="宋体" w:hAnsi="宋体" w:eastAsia="宋体" w:cs="宋体"/>
          <w:color w:val="000000"/>
          <w:lang w:bidi="en-US"/>
        </w:rPr>
        <w:t>。</w:t>
      </w:r>
    </w:p>
    <w:p>
      <w:pPr>
        <w:pStyle w:val="6"/>
        <w:keepNext/>
        <w:keepLines/>
        <w:pageBreakBefore w:val="0"/>
        <w:shd w:val="clear" w:color="auto" w:fill="auto"/>
        <w:kinsoku/>
        <w:wordWrap w:val="0"/>
        <w:overflowPunct/>
        <w:topLinePunct w:val="0"/>
        <w:bidi w:val="0"/>
        <w:spacing w:before="0" w:beforeLines="0" w:after="285" w:afterLines="0"/>
        <w:jc w:val="left"/>
        <w:textAlignment w:val="auto"/>
        <w:rPr>
          <w:rFonts w:hint="eastAsia" w:ascii="宋体" w:hAnsi="宋体" w:eastAsia="宋体" w:cs="宋体"/>
        </w:rPr>
      </w:pPr>
      <w:r>
        <w:rPr>
          <w:rStyle w:val="19"/>
          <w:rFonts w:hint="eastAsia" w:ascii="宋体" w:hAnsi="宋体" w:eastAsia="宋体" w:cs="宋体"/>
          <w:b/>
          <w:bCs/>
          <w:lang w:val="en-US" w:bidi="en-US"/>
        </w:rPr>
        <w:t>3.3</w:t>
      </w:r>
      <w:r>
        <w:rPr>
          <w:rStyle w:val="19"/>
          <w:rFonts w:hint="eastAsia" w:ascii="宋体" w:hAnsi="宋体" w:eastAsia="宋体" w:cs="宋体"/>
          <w:b/>
          <w:bCs/>
        </w:rPr>
        <w:t>第二个信封开标</w:t>
      </w:r>
    </w:p>
    <w:p>
      <w:pPr>
        <w:pStyle w:val="10"/>
        <w:pageBreakBefore w:val="0"/>
        <w:shd w:val="clear" w:color="auto" w:fill="auto"/>
        <w:kinsoku/>
        <w:wordWrap w:val="0"/>
        <w:overflowPunct/>
        <w:topLinePunct w:val="0"/>
        <w:bidi w:val="0"/>
        <w:spacing w:before="0" w:beforeLines="0" w:after="275" w:afterLines="0" w:line="398" w:lineRule="exact"/>
        <w:ind w:firstLine="520"/>
        <w:jc w:val="both"/>
        <w:textAlignment w:val="auto"/>
        <w:rPr>
          <w:rFonts w:hint="eastAsia" w:ascii="宋体" w:hAnsi="宋体" w:eastAsia="宋体" w:cs="宋体"/>
        </w:rPr>
      </w:pPr>
      <w:r>
        <w:rPr>
          <w:rFonts w:hint="eastAsia" w:ascii="宋体" w:hAnsi="宋体" w:eastAsia="宋体" w:cs="宋体"/>
          <w:color w:val="000000"/>
          <w:lang w:val="zh-CN" w:bidi="zh-CN"/>
        </w:rPr>
        <w:t>第一个信封（商务及技术文件）评审结束后，招标人将按照第二章“投标人须知”第</w:t>
      </w:r>
      <w:r>
        <w:rPr>
          <w:rFonts w:hint="eastAsia" w:ascii="宋体" w:hAnsi="宋体" w:eastAsia="宋体" w:cs="宋体"/>
          <w:color w:val="000000"/>
          <w:lang w:bidi="en-US"/>
        </w:rPr>
        <w:t>5.1</w:t>
      </w:r>
      <w:r>
        <w:rPr>
          <w:rFonts w:hint="eastAsia" w:ascii="宋体" w:hAnsi="宋体" w:eastAsia="宋体" w:cs="宋体"/>
          <w:color w:val="000000"/>
          <w:lang w:val="zh-CN" w:bidi="zh-CN"/>
        </w:rPr>
        <w:t>款规定的时间和地点对通过投标文件第一个信封（商务及技术文件）评审的投标文件第二个信封（报价文件）进行开标。</w:t>
      </w:r>
    </w:p>
    <w:p>
      <w:pPr>
        <w:pStyle w:val="6"/>
        <w:keepNext/>
        <w:keepLines/>
        <w:pageBreakBefore w:val="0"/>
        <w:shd w:val="clear" w:color="auto" w:fill="auto"/>
        <w:kinsoku/>
        <w:wordWrap w:val="0"/>
        <w:overflowPunct/>
        <w:topLinePunct w:val="0"/>
        <w:bidi w:val="0"/>
        <w:spacing w:before="0" w:beforeLines="0" w:after="282" w:afterLines="0"/>
        <w:jc w:val="left"/>
        <w:textAlignment w:val="auto"/>
        <w:rPr>
          <w:rFonts w:hint="eastAsia" w:ascii="宋体" w:hAnsi="宋体" w:eastAsia="宋体" w:cs="宋体"/>
        </w:rPr>
      </w:pPr>
      <w:r>
        <w:rPr>
          <w:rStyle w:val="19"/>
          <w:rFonts w:hint="eastAsia" w:ascii="宋体" w:hAnsi="宋体" w:eastAsia="宋体" w:cs="宋体"/>
          <w:b/>
          <w:bCs/>
          <w:lang w:val="en-US" w:bidi="en-US"/>
        </w:rPr>
        <w:t>3.4</w:t>
      </w:r>
      <w:r>
        <w:rPr>
          <w:rStyle w:val="19"/>
          <w:rFonts w:hint="eastAsia" w:ascii="宋体" w:hAnsi="宋体" w:eastAsia="宋体" w:cs="宋体"/>
          <w:b/>
          <w:bCs/>
        </w:rPr>
        <w:t>第二个信封初步评审</w:t>
      </w:r>
    </w:p>
    <w:p>
      <w:pPr>
        <w:pStyle w:val="10"/>
        <w:pageBreakBefore w:val="0"/>
        <w:shd w:val="clear" w:color="auto" w:fill="auto"/>
        <w:kinsoku/>
        <w:wordWrap w:val="0"/>
        <w:overflowPunct/>
        <w:topLinePunct w:val="0"/>
        <w:bidi w:val="0"/>
        <w:spacing w:before="0" w:beforeLines="0" w:after="0" w:afterLines="0" w:line="403" w:lineRule="exact"/>
        <w:ind w:firstLine="520"/>
        <w:jc w:val="both"/>
        <w:textAlignment w:val="auto"/>
        <w:rPr>
          <w:rFonts w:hint="eastAsia" w:ascii="宋体" w:hAnsi="宋体" w:eastAsia="宋体" w:cs="宋体"/>
        </w:rPr>
      </w:pPr>
      <w:r>
        <w:rPr>
          <w:rFonts w:hint="eastAsia" w:ascii="宋体" w:hAnsi="宋体" w:eastAsia="宋体" w:cs="宋体"/>
          <w:color w:val="000000"/>
          <w:lang w:bidi="en-US"/>
        </w:rPr>
        <w:t>3.4.1</w:t>
      </w:r>
      <w:r>
        <w:rPr>
          <w:rFonts w:hint="eastAsia" w:ascii="宋体" w:hAnsi="宋体" w:eastAsia="宋体" w:cs="宋体"/>
          <w:color w:val="000000"/>
          <w:lang w:val="zh-CN" w:bidi="zh-CN"/>
        </w:rPr>
        <w:t>评标委员会依据本章第</w:t>
      </w:r>
      <w:r>
        <w:rPr>
          <w:rFonts w:hint="eastAsia" w:ascii="宋体" w:hAnsi="宋体" w:eastAsia="宋体" w:cs="宋体"/>
          <w:color w:val="000000"/>
          <w:lang w:bidi="en-US"/>
        </w:rPr>
        <w:t>2.1.1</w:t>
      </w:r>
      <w:r>
        <w:rPr>
          <w:rFonts w:hint="eastAsia" w:ascii="宋体" w:hAnsi="宋体" w:eastAsia="宋体" w:cs="宋体"/>
          <w:color w:val="000000"/>
          <w:lang w:val="zh-CN" w:bidi="zh-CN"/>
        </w:rPr>
        <w:t>项、第</w:t>
      </w:r>
      <w:r>
        <w:rPr>
          <w:rFonts w:hint="eastAsia" w:ascii="宋体" w:hAnsi="宋体" w:eastAsia="宋体" w:cs="宋体"/>
          <w:color w:val="000000"/>
          <w:lang w:bidi="en-US"/>
        </w:rPr>
        <w:t>2.1.3</w:t>
      </w:r>
      <w:r>
        <w:rPr>
          <w:rFonts w:hint="eastAsia" w:ascii="宋体" w:hAnsi="宋体" w:eastAsia="宋体" w:cs="宋体"/>
          <w:color w:val="000000"/>
          <w:lang w:val="zh-CN" w:bidi="zh-CN"/>
        </w:rPr>
        <w:t>项规定的评审标准对投标文件第二个信封（报价文件）进行初步评审。有一项不符合评审标准的，评标委员会应否决其投标。</w:t>
      </w:r>
    </w:p>
    <w:p>
      <w:pPr>
        <w:pStyle w:val="10"/>
        <w:pageBreakBefore w:val="0"/>
        <w:shd w:val="clear" w:color="auto" w:fill="auto"/>
        <w:kinsoku/>
        <w:wordWrap w:val="0"/>
        <w:overflowPunct/>
        <w:topLinePunct w:val="0"/>
        <w:bidi w:val="0"/>
        <w:spacing w:before="0" w:beforeLines="0" w:after="0" w:afterLines="0" w:line="403" w:lineRule="exact"/>
        <w:ind w:firstLine="520"/>
        <w:jc w:val="both"/>
        <w:textAlignment w:val="auto"/>
        <w:rPr>
          <w:rFonts w:hint="eastAsia" w:ascii="宋体" w:hAnsi="宋体" w:eastAsia="宋体" w:cs="宋体"/>
        </w:rPr>
      </w:pPr>
      <w:r>
        <w:rPr>
          <w:rFonts w:hint="eastAsia" w:ascii="宋体" w:hAnsi="宋体" w:eastAsia="宋体" w:cs="宋体"/>
          <w:color w:val="000000"/>
          <w:lang w:bidi="en-US"/>
        </w:rPr>
        <w:t>3.4.2</w:t>
      </w:r>
      <w:r>
        <w:rPr>
          <w:rFonts w:hint="eastAsia" w:ascii="宋体" w:hAnsi="宋体" w:eastAsia="宋体" w:cs="宋体"/>
          <w:color w:val="000000"/>
          <w:lang w:val="zh-CN" w:bidi="zh-CN"/>
        </w:rPr>
        <w:t>投标报价有算术错误的，评标委员会按以下原则对投标报价进行修正，修正的价格经投标人书面确认后具有约束力。投标人不接受修正价格的，评标委员会应否决其投标。</w:t>
      </w:r>
    </w:p>
    <w:p>
      <w:pPr>
        <w:pStyle w:val="10"/>
        <w:pageBreakBefore w:val="0"/>
        <w:numPr>
          <w:ilvl w:val="0"/>
          <w:numId w:val="4"/>
        </w:numPr>
        <w:shd w:val="clear" w:color="auto" w:fill="auto"/>
        <w:tabs>
          <w:tab w:val="left" w:pos="1164"/>
        </w:tabs>
        <w:kinsoku/>
        <w:wordWrap w:val="0"/>
        <w:overflowPunct/>
        <w:topLinePunct w:val="0"/>
        <w:bidi w:val="0"/>
        <w:spacing w:before="0" w:beforeLines="0" w:after="0" w:afterLines="0" w:line="401" w:lineRule="exact"/>
        <w:ind w:firstLine="640"/>
        <w:jc w:val="both"/>
        <w:textAlignment w:val="auto"/>
        <w:rPr>
          <w:rFonts w:hint="eastAsia" w:ascii="宋体" w:hAnsi="宋体" w:eastAsia="宋体" w:cs="宋体"/>
        </w:rPr>
      </w:pPr>
      <w:r>
        <w:rPr>
          <w:rFonts w:hint="eastAsia" w:ascii="宋体" w:hAnsi="宋体" w:eastAsia="宋体" w:cs="宋体"/>
          <w:color w:val="000000"/>
          <w:lang w:val="zh-CN" w:bidi="zh-CN"/>
        </w:rPr>
        <w:t>投标文件中的大写金额与小写金额不一致的，以大写金额为准；</w:t>
      </w:r>
    </w:p>
    <w:p>
      <w:pPr>
        <w:pStyle w:val="10"/>
        <w:pageBreakBefore w:val="0"/>
        <w:numPr>
          <w:ilvl w:val="0"/>
          <w:numId w:val="4"/>
        </w:numPr>
        <w:shd w:val="clear" w:color="auto" w:fill="auto"/>
        <w:tabs>
          <w:tab w:val="left" w:pos="1134"/>
        </w:tabs>
        <w:kinsoku/>
        <w:wordWrap w:val="0"/>
        <w:overflowPunct/>
        <w:topLinePunct w:val="0"/>
        <w:bidi w:val="0"/>
        <w:spacing w:before="0" w:beforeLines="0" w:after="0" w:afterLines="0" w:line="401" w:lineRule="exact"/>
        <w:ind w:firstLine="640"/>
        <w:jc w:val="both"/>
        <w:textAlignment w:val="auto"/>
        <w:rPr>
          <w:rFonts w:hint="eastAsia" w:ascii="宋体" w:hAnsi="宋体" w:eastAsia="宋体" w:cs="宋体"/>
        </w:rPr>
      </w:pPr>
      <w:r>
        <w:rPr>
          <w:rFonts w:hint="eastAsia" w:ascii="宋体" w:hAnsi="宋体" w:eastAsia="宋体" w:cs="宋体"/>
          <w:color w:val="000000"/>
          <w:lang w:val="zh-CN" w:bidi="zh-CN"/>
        </w:rPr>
        <w:t>总价金额与依据单价计算出的结果不一致的，以单价金额为准修正总价，但单价金额小数点有明显错误的除外；</w:t>
      </w:r>
    </w:p>
    <w:p>
      <w:pPr>
        <w:pStyle w:val="10"/>
        <w:pageBreakBefore w:val="0"/>
        <w:numPr>
          <w:ilvl w:val="0"/>
          <w:numId w:val="4"/>
        </w:numPr>
        <w:shd w:val="clear" w:color="auto" w:fill="auto"/>
        <w:tabs>
          <w:tab w:val="left" w:pos="1129"/>
        </w:tabs>
        <w:kinsoku/>
        <w:wordWrap w:val="0"/>
        <w:overflowPunct/>
        <w:topLinePunct w:val="0"/>
        <w:bidi w:val="0"/>
        <w:spacing w:before="0" w:beforeLines="0" w:after="0" w:afterLines="0" w:line="401" w:lineRule="exact"/>
        <w:ind w:firstLine="640"/>
        <w:jc w:val="both"/>
        <w:textAlignment w:val="auto"/>
        <w:rPr>
          <w:rFonts w:hint="eastAsia" w:ascii="宋体" w:hAnsi="宋体" w:eastAsia="宋体" w:cs="宋体"/>
        </w:rPr>
      </w:pPr>
      <w:r>
        <w:rPr>
          <w:rFonts w:hint="eastAsia" w:ascii="宋体" w:hAnsi="宋体" w:eastAsia="宋体" w:cs="宋体"/>
          <w:color w:val="000000"/>
          <w:lang w:val="zh-CN" w:bidi="zh-CN"/>
        </w:rPr>
        <w:t>当单价与数量相乘不等于合价时，以单价计算为准，如果单价有明显的小数点位置差错，应以标出的合价为准，同时对单价予以修正；</w:t>
      </w:r>
    </w:p>
    <w:p>
      <w:pPr>
        <w:pStyle w:val="10"/>
        <w:pageBreakBefore w:val="0"/>
        <w:numPr>
          <w:ilvl w:val="0"/>
          <w:numId w:val="4"/>
        </w:numPr>
        <w:shd w:val="clear" w:color="auto" w:fill="auto"/>
        <w:tabs>
          <w:tab w:val="left" w:pos="1129"/>
        </w:tabs>
        <w:kinsoku/>
        <w:wordWrap w:val="0"/>
        <w:overflowPunct/>
        <w:topLinePunct w:val="0"/>
        <w:bidi w:val="0"/>
        <w:spacing w:before="0" w:beforeLines="0" w:after="0" w:afterLines="0" w:line="401" w:lineRule="exact"/>
        <w:ind w:firstLine="640"/>
        <w:jc w:val="both"/>
        <w:textAlignment w:val="auto"/>
        <w:rPr>
          <w:rFonts w:hint="eastAsia" w:ascii="宋体" w:hAnsi="宋体" w:eastAsia="宋体" w:cs="宋体"/>
        </w:rPr>
      </w:pPr>
      <w:r>
        <w:rPr>
          <w:rFonts w:hint="eastAsia" w:ascii="宋体" w:hAnsi="宋体" w:eastAsia="宋体" w:cs="宋体"/>
          <w:color w:val="000000"/>
          <w:lang w:val="zh-CN" w:bidi="zh-CN"/>
        </w:rPr>
        <w:t>当各子目的合价累计不等于总价时，应以各子目合价累计数为准，修正总价。</w:t>
      </w:r>
    </w:p>
    <w:p>
      <w:pPr>
        <w:pStyle w:val="10"/>
        <w:pageBreakBefore w:val="0"/>
        <w:shd w:val="clear" w:color="auto" w:fill="auto"/>
        <w:kinsoku/>
        <w:wordWrap w:val="0"/>
        <w:overflowPunct/>
        <w:topLinePunct w:val="0"/>
        <w:bidi w:val="0"/>
        <w:spacing w:before="0" w:beforeLines="0" w:after="0" w:afterLines="0" w:line="401" w:lineRule="exact"/>
        <w:ind w:firstLine="520"/>
        <w:jc w:val="both"/>
        <w:textAlignment w:val="auto"/>
        <w:rPr>
          <w:rFonts w:hint="eastAsia" w:ascii="宋体" w:hAnsi="宋体" w:eastAsia="宋体" w:cs="宋体"/>
        </w:rPr>
      </w:pPr>
      <w:r>
        <w:rPr>
          <w:rFonts w:hint="eastAsia" w:ascii="宋体" w:hAnsi="宋体" w:eastAsia="宋体" w:cs="宋体"/>
          <w:color w:val="000000"/>
          <w:lang w:bidi="en-US"/>
        </w:rPr>
        <w:t>3.4.3</w:t>
      </w:r>
      <w:r>
        <w:rPr>
          <w:rFonts w:hint="eastAsia" w:ascii="宋体" w:hAnsi="宋体" w:eastAsia="宋体" w:cs="宋体"/>
          <w:color w:val="000000"/>
          <w:lang w:val="zh-CN" w:bidi="zh-CN"/>
        </w:rPr>
        <w:t>修正后的最终投标报价若超过最高投标限价(如有)，评标委员会应否决其投标。</w:t>
      </w:r>
    </w:p>
    <w:p>
      <w:pPr>
        <w:pageBreakBefore w:val="0"/>
        <w:kinsoku/>
        <w:wordWrap w:val="0"/>
        <w:overflowPunct/>
        <w:topLinePunct w:val="0"/>
        <w:bidi w:val="0"/>
        <w:spacing w:line="360" w:lineRule="auto"/>
        <w:ind w:firstLine="630" w:firstLineChars="300"/>
        <w:textAlignment w:val="auto"/>
        <w:outlineLvl w:val="1"/>
        <w:rPr>
          <w:rFonts w:hint="eastAsia" w:ascii="宋体" w:hAnsi="宋体" w:cs="宋体"/>
          <w:color w:val="000000"/>
          <w:lang w:val="zh-CN" w:bidi="zh-CN"/>
        </w:rPr>
      </w:pPr>
      <w:r>
        <w:rPr>
          <w:rFonts w:hint="eastAsia" w:ascii="宋体" w:hAnsi="宋体" w:cs="宋体"/>
          <w:color w:val="000000"/>
          <w:lang w:bidi="en-US"/>
        </w:rPr>
        <w:t>3.4.4</w:t>
      </w:r>
      <w:r>
        <w:rPr>
          <w:rFonts w:hint="eastAsia" w:ascii="宋体" w:hAnsi="宋体" w:cs="宋体"/>
          <w:color w:val="000000"/>
          <w:lang w:val="zh-CN" w:bidi="zh-CN"/>
        </w:rPr>
        <w:t>修正后的最终投标报价仅作为签订合同的一个依据，不参与评标价得分的计算。</w:t>
      </w:r>
    </w:p>
    <w:p>
      <w:pPr>
        <w:pStyle w:val="6"/>
        <w:keepNext/>
        <w:keepLines/>
        <w:pageBreakBefore w:val="0"/>
        <w:shd w:val="clear" w:color="auto" w:fill="auto"/>
        <w:kinsoku/>
        <w:wordWrap w:val="0"/>
        <w:overflowPunct/>
        <w:topLinePunct w:val="0"/>
        <w:bidi w:val="0"/>
        <w:spacing w:before="0" w:beforeLines="0" w:after="263" w:afterLines="0"/>
        <w:textAlignment w:val="auto"/>
        <w:rPr>
          <w:rFonts w:hint="eastAsia" w:ascii="宋体" w:hAnsi="宋体" w:eastAsia="宋体" w:cs="宋体"/>
        </w:rPr>
      </w:pPr>
      <w:r>
        <w:rPr>
          <w:rStyle w:val="19"/>
          <w:rFonts w:hint="eastAsia" w:ascii="宋体" w:hAnsi="宋体" w:eastAsia="宋体" w:cs="宋体"/>
          <w:b/>
          <w:bCs/>
          <w:lang w:val="en-US" w:bidi="en-US"/>
        </w:rPr>
        <w:t>3.5</w:t>
      </w:r>
      <w:r>
        <w:rPr>
          <w:rStyle w:val="19"/>
          <w:rFonts w:hint="eastAsia" w:ascii="宋体" w:hAnsi="宋体" w:eastAsia="宋体" w:cs="宋体"/>
          <w:b/>
          <w:bCs/>
        </w:rPr>
        <w:t>第二个信封详细评审</w:t>
      </w:r>
    </w:p>
    <w:p>
      <w:pPr>
        <w:pStyle w:val="10"/>
        <w:pageBreakBefore w:val="0"/>
        <w:shd w:val="clear" w:color="auto" w:fill="auto"/>
        <w:kinsoku/>
        <w:wordWrap w:val="0"/>
        <w:overflowPunct/>
        <w:topLinePunct w:val="0"/>
        <w:bidi w:val="0"/>
        <w:spacing w:before="0" w:beforeLines="0" w:after="0" w:afterLines="0" w:line="401" w:lineRule="exact"/>
        <w:ind w:firstLine="520"/>
        <w:jc w:val="left"/>
        <w:textAlignment w:val="auto"/>
        <w:rPr>
          <w:rFonts w:hint="eastAsia" w:ascii="宋体" w:hAnsi="宋体" w:eastAsia="宋体" w:cs="宋体"/>
          <w:color w:val="000000"/>
          <w:lang w:val="zh-CN" w:bidi="zh-CN"/>
        </w:rPr>
      </w:pPr>
      <w:r>
        <w:rPr>
          <w:rFonts w:hint="eastAsia" w:ascii="宋体" w:hAnsi="宋体" w:eastAsia="宋体" w:cs="宋体"/>
          <w:color w:val="000000"/>
          <w:lang w:bidi="en-US"/>
        </w:rPr>
        <w:t>3.5.1</w:t>
      </w:r>
      <w:r>
        <w:rPr>
          <w:rFonts w:hint="eastAsia" w:ascii="宋体" w:hAnsi="宋体" w:eastAsia="宋体" w:cs="宋体"/>
          <w:color w:val="000000"/>
          <w:lang w:val="zh-CN" w:bidi="zh-CN"/>
        </w:rPr>
        <w:t>评标委员会按本章第</w:t>
      </w:r>
      <w:r>
        <w:rPr>
          <w:rFonts w:hint="eastAsia" w:ascii="宋体" w:hAnsi="宋体" w:eastAsia="宋体" w:cs="宋体"/>
          <w:color w:val="000000"/>
          <w:lang w:bidi="en-US"/>
        </w:rPr>
        <w:t>2.2.4</w:t>
      </w:r>
      <w:r>
        <w:rPr>
          <w:rFonts w:hint="eastAsia" w:ascii="宋体" w:hAnsi="宋体" w:eastAsia="宋体" w:cs="宋体"/>
          <w:color w:val="000000"/>
          <w:lang w:val="zh-CN" w:bidi="zh-CN"/>
        </w:rPr>
        <w:t>项</w:t>
      </w:r>
      <w:r>
        <w:rPr>
          <w:rFonts w:hint="eastAsia" w:ascii="宋体" w:hAnsi="宋体" w:eastAsia="宋体" w:cs="宋体"/>
          <w:color w:val="000000"/>
          <w:lang w:bidi="en-US"/>
        </w:rPr>
        <w:t>(3)</w:t>
      </w:r>
      <w:r>
        <w:rPr>
          <w:rFonts w:hint="eastAsia" w:ascii="宋体" w:hAnsi="宋体" w:eastAsia="宋体" w:cs="宋体"/>
          <w:color w:val="000000"/>
          <w:lang w:val="zh-CN" w:bidi="zh-CN"/>
        </w:rPr>
        <w:t>目规定的评审因素和分值对评标价计算出得分</w:t>
      </w:r>
      <w:r>
        <w:rPr>
          <w:rStyle w:val="15"/>
          <w:rFonts w:hint="eastAsia" w:ascii="宋体" w:hAnsi="宋体" w:eastAsia="宋体" w:cs="宋体"/>
          <w:lang w:eastAsia="zh-CN"/>
        </w:rPr>
        <w:t>C</w:t>
      </w:r>
      <w:r>
        <w:rPr>
          <w:rFonts w:hint="eastAsia" w:ascii="宋体" w:hAnsi="宋体" w:eastAsia="宋体" w:cs="宋体"/>
          <w:color w:val="000000"/>
          <w:lang w:bidi="en-US"/>
        </w:rPr>
        <w:t>。</w:t>
      </w:r>
      <w:r>
        <w:rPr>
          <w:rFonts w:hint="eastAsia" w:ascii="宋体" w:hAnsi="宋体" w:eastAsia="宋体" w:cs="宋体"/>
          <w:color w:val="000000"/>
          <w:lang w:val="zh-CN" w:bidi="zh-CN"/>
        </w:rPr>
        <w:t xml:space="preserve">评标价得分分值计算保留小数点后两位，小数点后第三位“四舍五入”。 </w:t>
      </w:r>
    </w:p>
    <w:p>
      <w:pPr>
        <w:pStyle w:val="10"/>
        <w:pageBreakBefore w:val="0"/>
        <w:shd w:val="clear" w:color="auto" w:fill="auto"/>
        <w:kinsoku/>
        <w:wordWrap w:val="0"/>
        <w:overflowPunct/>
        <w:topLinePunct w:val="0"/>
        <w:bidi w:val="0"/>
        <w:spacing w:before="0" w:beforeLines="0" w:after="0" w:afterLines="0" w:line="401" w:lineRule="exact"/>
        <w:ind w:firstLine="520"/>
        <w:jc w:val="left"/>
        <w:textAlignment w:val="auto"/>
        <w:rPr>
          <w:rFonts w:hint="eastAsia" w:ascii="宋体" w:hAnsi="宋体" w:eastAsia="宋体" w:cs="宋体"/>
        </w:rPr>
      </w:pPr>
      <w:r>
        <w:rPr>
          <w:rFonts w:hint="eastAsia" w:ascii="宋体" w:hAnsi="宋体" w:eastAsia="宋体" w:cs="宋体"/>
          <w:color w:val="000000"/>
          <w:lang w:bidi="en-US"/>
        </w:rPr>
        <w:t>3.5.2</w:t>
      </w:r>
      <w:r>
        <w:rPr>
          <w:rFonts w:hint="eastAsia" w:ascii="宋体" w:hAnsi="宋体" w:eastAsia="宋体" w:cs="宋体"/>
          <w:color w:val="000000"/>
          <w:lang w:val="zh-CN" w:bidi="zh-CN"/>
        </w:rPr>
        <w:t>投标人综合得分=投标人的商务和技术得分</w:t>
      </w:r>
      <w:r>
        <w:rPr>
          <w:rFonts w:hint="eastAsia" w:ascii="宋体" w:hAnsi="宋体" w:eastAsia="宋体" w:cs="宋体"/>
          <w:color w:val="000000"/>
          <w:lang w:bidi="en-US"/>
        </w:rPr>
        <w:t>+</w:t>
      </w:r>
      <w:r>
        <w:rPr>
          <w:rStyle w:val="15"/>
          <w:rFonts w:hint="eastAsia" w:ascii="宋体" w:hAnsi="宋体" w:eastAsia="宋体" w:cs="宋体"/>
          <w:lang w:eastAsia="zh-CN"/>
        </w:rPr>
        <w:t>C</w:t>
      </w:r>
      <w:r>
        <w:rPr>
          <w:rFonts w:hint="eastAsia" w:ascii="宋体" w:hAnsi="宋体" w:eastAsia="宋体" w:cs="宋体"/>
          <w:color w:val="000000"/>
          <w:lang w:bidi="en-US"/>
        </w:rPr>
        <w:t>。</w:t>
      </w:r>
    </w:p>
    <w:p>
      <w:pPr>
        <w:pStyle w:val="10"/>
        <w:pageBreakBefore w:val="0"/>
        <w:shd w:val="clear" w:color="auto" w:fill="auto"/>
        <w:kinsoku/>
        <w:wordWrap w:val="0"/>
        <w:overflowPunct/>
        <w:topLinePunct w:val="0"/>
        <w:bidi w:val="0"/>
        <w:spacing w:before="0" w:beforeLines="0" w:after="0" w:afterLines="0" w:line="401" w:lineRule="exact"/>
        <w:ind w:firstLine="520"/>
        <w:jc w:val="left"/>
        <w:textAlignment w:val="auto"/>
        <w:rPr>
          <w:rFonts w:hint="eastAsia" w:ascii="宋体" w:hAnsi="宋体" w:eastAsia="宋体" w:cs="宋体"/>
          <w:color w:val="000000"/>
          <w:lang w:val="zh-CN" w:bidi="en-US"/>
        </w:rPr>
      </w:pPr>
      <w:r>
        <w:rPr>
          <w:rFonts w:hint="eastAsia" w:ascii="宋体" w:hAnsi="宋体" w:eastAsia="宋体" w:cs="宋体"/>
          <w:color w:val="000000"/>
          <w:lang w:bidi="en-US"/>
        </w:rPr>
        <w:t>3.5.3</w:t>
      </w:r>
      <w:r>
        <w:rPr>
          <w:rFonts w:hint="eastAsia" w:ascii="宋体" w:hAnsi="宋体" w:eastAsia="宋体" w:cs="宋体"/>
          <w:color w:val="000000"/>
          <w:lang w:val="zh-CN" w:bidi="zh-CN"/>
        </w:rPr>
        <w:t>评标委员会发现投标人的报价明显低于其他投标报价，使得其投标报价可能低于其个别成本的，应要求该投标人作出书面说明并提</w:t>
      </w:r>
      <w:r>
        <w:rPr>
          <w:rFonts w:hint="eastAsia" w:ascii="宋体" w:hAnsi="宋体" w:eastAsia="宋体" w:cs="宋体"/>
          <w:color w:val="000000"/>
          <w:lang w:val="zh-CN" w:bidi="en-US"/>
        </w:rPr>
        <w:t>供相应的证明材料。投标人不能合理说明或不能提供相应证明材料的，评标委员会应认定该投标人以低于成本报价竞标，并否决其投标。</w:t>
      </w:r>
    </w:p>
    <w:p>
      <w:pPr>
        <w:pStyle w:val="10"/>
        <w:pageBreakBefore w:val="0"/>
        <w:shd w:val="clear" w:color="auto" w:fill="auto"/>
        <w:kinsoku/>
        <w:wordWrap w:val="0"/>
        <w:overflowPunct/>
        <w:topLinePunct w:val="0"/>
        <w:bidi w:val="0"/>
        <w:spacing w:before="0" w:beforeLines="0" w:after="0" w:afterLines="0" w:line="401" w:lineRule="exact"/>
        <w:ind w:firstLine="520"/>
        <w:jc w:val="left"/>
        <w:textAlignment w:val="auto"/>
        <w:rPr>
          <w:rFonts w:hint="eastAsia" w:ascii="宋体" w:hAnsi="宋体" w:eastAsia="宋体" w:cs="宋体"/>
          <w:color w:val="000000"/>
          <w:lang w:val="zh-CN" w:bidi="en-US"/>
        </w:rPr>
      </w:pPr>
      <w:r>
        <w:rPr>
          <w:rFonts w:hint="eastAsia" w:ascii="宋体" w:hAnsi="宋体" w:eastAsia="宋体" w:cs="宋体"/>
          <w:color w:val="000000"/>
          <w:lang w:val="en-US" w:eastAsia="zh-CN" w:bidi="en-US"/>
        </w:rPr>
        <w:t xml:space="preserve">3.5.4 </w:t>
      </w:r>
      <w:r>
        <w:rPr>
          <w:rFonts w:hint="eastAsia" w:ascii="宋体" w:hAnsi="宋体" w:eastAsia="宋体" w:cs="宋体"/>
          <w:color w:val="000000"/>
          <w:lang w:val="zh-CN" w:eastAsia="zh-CN" w:bidi="en-US"/>
        </w:rPr>
        <w:t>根据财政部、工信部印发的《政府采购促进中小企业发展暂行办法》(财库(2020)46号)文件精神，适用招标投标法的政府采购工程建设项目，采用综合评估法但未采用低价优先法计算价格分的，评标时应当在采用原报价进行评分的基础上对小微企业增加其价格得分的3%-5%作为其价格分，对承诺预留给小微企业合同份额占合同总金额30%以上的大中型企业增加其价格得分的1%-2%作为其价格分。本项目对小微企业价格得分的增加比例为3%，对承诺预留给小微企业合同份额占合同总金额30%以上的大中型企业价格得分的增加比例为1%。本项目预留预算总额的30%专门面向中小企业，其中预留给小微企业的比例为60%。小微企业投标须出具《中小企业声明函》;中型企业投标须出具《中小企业声明函》及《小微企业预留份额承诺书》;大型企业投标须出具《小微企业预留份额承诺书》，大中型企业承诺预留给中小微的份额不得少于文件要求。大中型企业不得将关键性工作进行分包。</w:t>
      </w:r>
    </w:p>
    <w:p>
      <w:pPr>
        <w:pStyle w:val="6"/>
        <w:keepNext/>
        <w:keepLines/>
        <w:pageBreakBefore w:val="0"/>
        <w:shd w:val="clear" w:color="auto" w:fill="auto"/>
        <w:kinsoku/>
        <w:wordWrap w:val="0"/>
        <w:overflowPunct/>
        <w:topLinePunct w:val="0"/>
        <w:bidi w:val="0"/>
        <w:spacing w:before="0" w:beforeLines="0" w:after="263" w:afterLines="0"/>
        <w:textAlignment w:val="auto"/>
        <w:rPr>
          <w:rStyle w:val="19"/>
          <w:rFonts w:hint="eastAsia" w:ascii="宋体" w:hAnsi="宋体" w:eastAsia="宋体" w:cs="宋体"/>
          <w:b/>
          <w:bCs/>
          <w:lang w:val="en-US" w:bidi="en-US"/>
        </w:rPr>
      </w:pPr>
    </w:p>
    <w:p>
      <w:pPr>
        <w:pStyle w:val="6"/>
        <w:keepNext/>
        <w:keepLines/>
        <w:pageBreakBefore w:val="0"/>
        <w:shd w:val="clear" w:color="auto" w:fill="auto"/>
        <w:kinsoku/>
        <w:wordWrap w:val="0"/>
        <w:overflowPunct/>
        <w:topLinePunct w:val="0"/>
        <w:bidi w:val="0"/>
        <w:spacing w:before="0" w:beforeLines="0" w:after="263" w:afterLines="0"/>
        <w:textAlignment w:val="auto"/>
        <w:rPr>
          <w:rFonts w:hint="eastAsia" w:ascii="宋体" w:hAnsi="宋体" w:eastAsia="宋体" w:cs="宋体"/>
        </w:rPr>
      </w:pPr>
      <w:r>
        <w:rPr>
          <w:rStyle w:val="19"/>
          <w:rFonts w:hint="eastAsia" w:ascii="宋体" w:hAnsi="宋体" w:eastAsia="宋体" w:cs="宋体"/>
          <w:b/>
          <w:bCs/>
          <w:lang w:val="en-US" w:bidi="en-US"/>
        </w:rPr>
        <w:t>3.6</w:t>
      </w:r>
      <w:r>
        <w:rPr>
          <w:rStyle w:val="19"/>
          <w:rFonts w:hint="eastAsia" w:ascii="宋体" w:hAnsi="宋体" w:eastAsia="宋体" w:cs="宋体"/>
          <w:b/>
          <w:bCs/>
        </w:rPr>
        <w:t>投标文件相关信息的核查</w:t>
      </w:r>
    </w:p>
    <w:p>
      <w:pPr>
        <w:pStyle w:val="10"/>
        <w:pageBreakBefore w:val="0"/>
        <w:shd w:val="clear" w:color="auto" w:fill="auto"/>
        <w:kinsoku/>
        <w:wordWrap w:val="0"/>
        <w:overflowPunct/>
        <w:topLinePunct w:val="0"/>
        <w:bidi w:val="0"/>
        <w:spacing w:before="0" w:beforeLines="0" w:after="0" w:afterLines="0" w:line="401" w:lineRule="exact"/>
        <w:ind w:firstLine="520"/>
        <w:jc w:val="left"/>
        <w:textAlignment w:val="auto"/>
        <w:rPr>
          <w:rFonts w:hint="eastAsia" w:ascii="宋体" w:hAnsi="宋体" w:eastAsia="宋体" w:cs="宋体"/>
        </w:rPr>
      </w:pPr>
      <w:r>
        <w:rPr>
          <w:rFonts w:hint="eastAsia" w:ascii="宋体" w:hAnsi="宋体" w:eastAsia="宋体" w:cs="宋体"/>
          <w:color w:val="000000"/>
          <w:lang w:bidi="en-US"/>
        </w:rPr>
        <w:t>3.6.1</w:t>
      </w:r>
      <w:r>
        <w:rPr>
          <w:rFonts w:hint="eastAsia" w:ascii="宋体" w:hAnsi="宋体" w:eastAsia="宋体" w:cs="宋体"/>
          <w:color w:val="000000"/>
          <w:lang w:val="zh-CN" w:bidi="zh-CN"/>
        </w:rPr>
        <w:t>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pStyle w:val="10"/>
        <w:pageBreakBefore w:val="0"/>
        <w:shd w:val="clear" w:color="auto" w:fill="auto"/>
        <w:kinsoku/>
        <w:wordWrap w:val="0"/>
        <w:overflowPunct/>
        <w:topLinePunct w:val="0"/>
        <w:bidi w:val="0"/>
        <w:spacing w:before="0" w:beforeLines="0" w:after="0" w:afterLines="0" w:line="401" w:lineRule="exact"/>
        <w:ind w:firstLine="520"/>
        <w:jc w:val="left"/>
        <w:textAlignment w:val="auto"/>
        <w:rPr>
          <w:rFonts w:hint="eastAsia" w:ascii="宋体" w:hAnsi="宋体" w:eastAsia="宋体" w:cs="宋体"/>
        </w:rPr>
      </w:pPr>
      <w:r>
        <w:rPr>
          <w:rFonts w:hint="eastAsia" w:ascii="宋体" w:hAnsi="宋体" w:eastAsia="宋体" w:cs="宋体"/>
          <w:color w:val="000000"/>
          <w:lang w:bidi="en-US"/>
        </w:rPr>
        <w:t>3.6.2</w:t>
      </w:r>
      <w:r>
        <w:rPr>
          <w:rFonts w:hint="eastAsia" w:ascii="宋体" w:hAnsi="宋体" w:eastAsia="宋体" w:cs="宋体"/>
          <w:color w:val="000000"/>
          <w:lang w:val="zh-CN" w:bidi="zh-CN"/>
        </w:rPr>
        <w:t>评标委员会应对在评标过程中发现的投标人与投标人之间、投标人与招标人之间存在的串通投标的情形进行评审和认定。投标人存在串通投标、弄虚作假、行贿等违法行为的，评标委员会应否决其投标。</w:t>
      </w:r>
    </w:p>
    <w:p>
      <w:pPr>
        <w:pStyle w:val="10"/>
        <w:pageBreakBefore w:val="0"/>
        <w:numPr>
          <w:ilvl w:val="0"/>
          <w:numId w:val="5"/>
        </w:numPr>
        <w:shd w:val="clear" w:color="auto" w:fill="auto"/>
        <w:kinsoku/>
        <w:wordWrap w:val="0"/>
        <w:overflowPunct/>
        <w:topLinePunct w:val="0"/>
        <w:bidi w:val="0"/>
        <w:spacing w:before="0" w:beforeLines="0" w:after="0" w:afterLines="0" w:line="401" w:lineRule="exact"/>
        <w:ind w:firstLine="640"/>
        <w:jc w:val="both"/>
        <w:textAlignment w:val="auto"/>
        <w:rPr>
          <w:rFonts w:hint="eastAsia" w:ascii="宋体" w:hAnsi="宋体" w:eastAsia="宋体" w:cs="宋体"/>
        </w:rPr>
      </w:pPr>
      <w:r>
        <w:rPr>
          <w:rFonts w:hint="eastAsia" w:ascii="宋体" w:hAnsi="宋体" w:eastAsia="宋体" w:cs="宋体"/>
          <w:color w:val="000000"/>
          <w:lang w:val="zh-CN" w:bidi="zh-CN"/>
        </w:rPr>
        <w:t>有下列情形之一的，属于投标人相互串通投标：</w:t>
      </w:r>
    </w:p>
    <w:p>
      <w:pPr>
        <w:pageBreakBefore w:val="0"/>
        <w:kinsoku/>
        <w:wordWrap w:val="0"/>
        <w:overflowPunct/>
        <w:topLinePunct w:val="0"/>
        <w:bidi w:val="0"/>
        <w:spacing w:line="360" w:lineRule="auto"/>
        <w:ind w:firstLine="630" w:firstLineChars="300"/>
        <w:textAlignment w:val="auto"/>
        <w:outlineLvl w:val="1"/>
        <w:rPr>
          <w:rFonts w:hint="eastAsia" w:ascii="宋体" w:hAnsi="宋体" w:cs="宋体"/>
          <w:color w:val="000000"/>
          <w:lang w:val="zh-CN" w:bidi="zh-CN"/>
        </w:rPr>
      </w:pPr>
      <w:r>
        <w:rPr>
          <w:rFonts w:hint="eastAsia" w:ascii="宋体" w:hAnsi="宋体" w:cs="宋体"/>
          <w:color w:val="000000"/>
          <w:lang w:bidi="zh-CN"/>
        </w:rPr>
        <w:t>a.</w:t>
      </w:r>
      <w:r>
        <w:rPr>
          <w:rFonts w:hint="eastAsia" w:ascii="宋体" w:hAnsi="宋体" w:cs="宋体"/>
          <w:color w:val="000000"/>
          <w:lang w:val="zh-CN" w:bidi="zh-CN"/>
        </w:rPr>
        <w:t>投标人之间协商投标报价等投标文件的实质性内容；</w:t>
      </w:r>
    </w:p>
    <w:p>
      <w:pPr>
        <w:pStyle w:val="10"/>
        <w:pageBreakBefore w:val="0"/>
        <w:shd w:val="clear" w:color="auto" w:fill="auto"/>
        <w:tabs>
          <w:tab w:val="left" w:pos="863"/>
        </w:tabs>
        <w:kinsoku/>
        <w:wordWrap w:val="0"/>
        <w:overflowPunct/>
        <w:topLinePunct w:val="0"/>
        <w:bidi w:val="0"/>
        <w:spacing w:before="0" w:beforeLines="0" w:after="34" w:afterLines="0" w:line="266" w:lineRule="exact"/>
        <w:ind w:firstLine="660" w:firstLineChars="300"/>
        <w:jc w:val="both"/>
        <w:textAlignment w:val="auto"/>
        <w:rPr>
          <w:rFonts w:hint="eastAsia" w:ascii="宋体" w:hAnsi="宋体" w:eastAsia="宋体" w:cs="宋体"/>
        </w:rPr>
      </w:pPr>
      <w:r>
        <w:rPr>
          <w:rFonts w:hint="eastAsia" w:ascii="宋体" w:hAnsi="宋体" w:eastAsia="宋体" w:cs="宋体"/>
          <w:color w:val="000000"/>
          <w:lang w:bidi="zh-CN"/>
        </w:rPr>
        <w:t>b.</w:t>
      </w:r>
      <w:r>
        <w:rPr>
          <w:rFonts w:hint="eastAsia" w:ascii="宋体" w:hAnsi="宋体" w:eastAsia="宋体" w:cs="宋体"/>
          <w:color w:val="000000"/>
          <w:lang w:val="zh-CN" w:bidi="zh-CN"/>
        </w:rPr>
        <w:t>投标人之间约定中标人；</w:t>
      </w:r>
    </w:p>
    <w:p>
      <w:pPr>
        <w:pStyle w:val="10"/>
        <w:pageBreakBefore w:val="0"/>
        <w:shd w:val="clear" w:color="auto" w:fill="auto"/>
        <w:tabs>
          <w:tab w:val="left" w:pos="863"/>
        </w:tabs>
        <w:kinsoku/>
        <w:wordWrap w:val="0"/>
        <w:overflowPunct/>
        <w:topLinePunct w:val="0"/>
        <w:bidi w:val="0"/>
        <w:spacing w:before="0" w:beforeLines="0" w:after="0" w:afterLines="0" w:line="398" w:lineRule="exact"/>
        <w:ind w:firstLine="660" w:firstLineChars="300"/>
        <w:jc w:val="both"/>
        <w:textAlignment w:val="auto"/>
        <w:rPr>
          <w:rFonts w:hint="eastAsia" w:ascii="宋体" w:hAnsi="宋体" w:eastAsia="宋体" w:cs="宋体"/>
        </w:rPr>
      </w:pPr>
      <w:r>
        <w:rPr>
          <w:rFonts w:hint="eastAsia" w:ascii="宋体" w:hAnsi="宋体" w:eastAsia="宋体" w:cs="宋体"/>
          <w:color w:val="000000"/>
          <w:lang w:bidi="zh-CN"/>
        </w:rPr>
        <w:t>c.</w:t>
      </w:r>
      <w:r>
        <w:rPr>
          <w:rFonts w:hint="eastAsia" w:ascii="宋体" w:hAnsi="宋体" w:eastAsia="宋体" w:cs="宋体"/>
          <w:color w:val="000000"/>
          <w:lang w:val="zh-CN" w:bidi="zh-CN"/>
        </w:rPr>
        <w:t>投标人之间约定部分投标人放弃投标或中标；</w:t>
      </w:r>
    </w:p>
    <w:p>
      <w:pPr>
        <w:pStyle w:val="10"/>
        <w:pageBreakBefore w:val="0"/>
        <w:shd w:val="clear" w:color="auto" w:fill="auto"/>
        <w:tabs>
          <w:tab w:val="left" w:pos="863"/>
        </w:tabs>
        <w:kinsoku/>
        <w:wordWrap w:val="0"/>
        <w:overflowPunct/>
        <w:topLinePunct w:val="0"/>
        <w:bidi w:val="0"/>
        <w:spacing w:before="0" w:beforeLines="0" w:after="0" w:afterLines="0" w:line="398" w:lineRule="exact"/>
        <w:ind w:firstLine="660" w:firstLineChars="300"/>
        <w:jc w:val="both"/>
        <w:textAlignment w:val="auto"/>
        <w:rPr>
          <w:rFonts w:hint="eastAsia" w:ascii="宋体" w:hAnsi="宋体" w:eastAsia="宋体" w:cs="宋体"/>
        </w:rPr>
      </w:pPr>
      <w:r>
        <w:rPr>
          <w:rFonts w:hint="eastAsia" w:ascii="宋体" w:hAnsi="宋体" w:eastAsia="宋体" w:cs="宋体"/>
          <w:color w:val="000000"/>
          <w:lang w:bidi="zh-CN"/>
        </w:rPr>
        <w:t>d.</w:t>
      </w:r>
      <w:r>
        <w:rPr>
          <w:rFonts w:hint="eastAsia" w:ascii="宋体" w:hAnsi="宋体" w:eastAsia="宋体" w:cs="宋体"/>
          <w:color w:val="000000"/>
          <w:lang w:val="zh-CN" w:bidi="zh-CN"/>
        </w:rPr>
        <w:t>属于同一集团、协会、商会等组织成员的投标人按照该组织要求协同投标;</w:t>
      </w:r>
    </w:p>
    <w:p>
      <w:pPr>
        <w:pStyle w:val="10"/>
        <w:pageBreakBefore w:val="0"/>
        <w:shd w:val="clear" w:color="auto" w:fill="auto"/>
        <w:tabs>
          <w:tab w:val="left" w:pos="863"/>
        </w:tabs>
        <w:kinsoku/>
        <w:wordWrap w:val="0"/>
        <w:overflowPunct/>
        <w:topLinePunct w:val="0"/>
        <w:bidi w:val="0"/>
        <w:spacing w:before="0" w:beforeLines="0" w:after="0" w:afterLines="0" w:line="398" w:lineRule="exact"/>
        <w:ind w:firstLine="660" w:firstLineChars="300"/>
        <w:jc w:val="both"/>
        <w:textAlignment w:val="auto"/>
        <w:rPr>
          <w:rFonts w:hint="eastAsia" w:ascii="宋体" w:hAnsi="宋体" w:eastAsia="宋体" w:cs="宋体"/>
        </w:rPr>
      </w:pPr>
      <w:r>
        <w:rPr>
          <w:rFonts w:hint="eastAsia" w:ascii="宋体" w:hAnsi="宋体" w:eastAsia="宋体" w:cs="宋体"/>
          <w:color w:val="000000"/>
          <w:lang w:bidi="zh-CN"/>
        </w:rPr>
        <w:t>e.</w:t>
      </w:r>
      <w:r>
        <w:rPr>
          <w:rFonts w:hint="eastAsia" w:ascii="宋体" w:hAnsi="宋体" w:eastAsia="宋体" w:cs="宋体"/>
          <w:color w:val="000000"/>
          <w:lang w:val="zh-CN" w:bidi="zh-CN"/>
        </w:rPr>
        <w:t>投标人之间为谋取中标或排斥特定投标人而采取的其他联合行动。</w:t>
      </w:r>
    </w:p>
    <w:p>
      <w:pPr>
        <w:pStyle w:val="10"/>
        <w:pageBreakBefore w:val="0"/>
        <w:numPr>
          <w:ilvl w:val="0"/>
          <w:numId w:val="5"/>
        </w:numPr>
        <w:shd w:val="clear" w:color="auto" w:fill="auto"/>
        <w:tabs>
          <w:tab w:val="left" w:pos="1169"/>
        </w:tabs>
        <w:kinsoku/>
        <w:wordWrap w:val="0"/>
        <w:overflowPunct/>
        <w:topLinePunct w:val="0"/>
        <w:bidi w:val="0"/>
        <w:spacing w:before="0" w:beforeLines="0" w:after="0" w:afterLines="0" w:line="398" w:lineRule="exact"/>
        <w:ind w:left="640"/>
        <w:jc w:val="left"/>
        <w:textAlignment w:val="auto"/>
        <w:rPr>
          <w:rFonts w:hint="eastAsia" w:ascii="宋体" w:hAnsi="宋体" w:eastAsia="宋体" w:cs="宋体"/>
        </w:rPr>
      </w:pPr>
      <w:r>
        <w:rPr>
          <w:rFonts w:hint="eastAsia" w:ascii="宋体" w:hAnsi="宋体" w:eastAsia="宋体" w:cs="宋体"/>
          <w:color w:val="000000"/>
          <w:lang w:val="zh-CN" w:bidi="zh-CN"/>
        </w:rPr>
        <w:t>有下列情形之一的，视为投标人相互串通投标：</w:t>
      </w:r>
    </w:p>
    <w:p>
      <w:pPr>
        <w:pStyle w:val="10"/>
        <w:pageBreakBefore w:val="0"/>
        <w:numPr>
          <w:ilvl w:val="0"/>
          <w:numId w:val="6"/>
        </w:numPr>
        <w:shd w:val="clear" w:color="auto" w:fill="auto"/>
        <w:tabs>
          <w:tab w:val="left" w:pos="839"/>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不同投标人的投标文件由同一单位或个人编制；</w:t>
      </w:r>
    </w:p>
    <w:p>
      <w:pPr>
        <w:pStyle w:val="10"/>
        <w:pageBreakBefore w:val="0"/>
        <w:numPr>
          <w:ilvl w:val="0"/>
          <w:numId w:val="6"/>
        </w:numPr>
        <w:shd w:val="clear" w:color="auto" w:fill="auto"/>
        <w:tabs>
          <w:tab w:val="left" w:pos="863"/>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不同投标人委托同一单位或个人办理投标事宜；</w:t>
      </w:r>
    </w:p>
    <w:p>
      <w:pPr>
        <w:pStyle w:val="10"/>
        <w:pageBreakBefore w:val="0"/>
        <w:numPr>
          <w:ilvl w:val="0"/>
          <w:numId w:val="6"/>
        </w:numPr>
        <w:shd w:val="clear" w:color="auto" w:fill="auto"/>
        <w:tabs>
          <w:tab w:val="left" w:pos="863"/>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不同投标人的投标文件载明的项目管理成员为同一人；</w:t>
      </w:r>
    </w:p>
    <w:p>
      <w:pPr>
        <w:pStyle w:val="10"/>
        <w:pageBreakBefore w:val="0"/>
        <w:numPr>
          <w:ilvl w:val="0"/>
          <w:numId w:val="6"/>
        </w:numPr>
        <w:shd w:val="clear" w:color="auto" w:fill="auto"/>
        <w:tabs>
          <w:tab w:val="left" w:pos="863"/>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不同投标人的投标文件异常一致或投标报价呈规律性差异；</w:t>
      </w:r>
    </w:p>
    <w:p>
      <w:pPr>
        <w:pStyle w:val="10"/>
        <w:pageBreakBefore w:val="0"/>
        <w:numPr>
          <w:ilvl w:val="0"/>
          <w:numId w:val="6"/>
        </w:numPr>
        <w:shd w:val="clear" w:color="auto" w:fill="auto"/>
        <w:tabs>
          <w:tab w:val="left" w:pos="863"/>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不同投标人的投标文件相互混装；</w:t>
      </w:r>
    </w:p>
    <w:p>
      <w:pPr>
        <w:pStyle w:val="10"/>
        <w:pageBreakBefore w:val="0"/>
        <w:numPr>
          <w:ilvl w:val="0"/>
          <w:numId w:val="6"/>
        </w:numPr>
        <w:shd w:val="clear" w:color="auto" w:fill="auto"/>
        <w:tabs>
          <w:tab w:val="left" w:pos="863"/>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不同投标人的投标保证金从同一单位或个人的账户转出。</w:t>
      </w:r>
    </w:p>
    <w:p>
      <w:pPr>
        <w:pStyle w:val="10"/>
        <w:pageBreakBefore w:val="0"/>
        <w:numPr>
          <w:ilvl w:val="0"/>
          <w:numId w:val="5"/>
        </w:numPr>
        <w:shd w:val="clear" w:color="auto" w:fill="auto"/>
        <w:tabs>
          <w:tab w:val="left" w:pos="1169"/>
        </w:tabs>
        <w:kinsoku/>
        <w:wordWrap w:val="0"/>
        <w:overflowPunct/>
        <w:topLinePunct w:val="0"/>
        <w:bidi w:val="0"/>
        <w:spacing w:before="0" w:beforeLines="0" w:after="0" w:afterLines="0" w:line="398" w:lineRule="exact"/>
        <w:ind w:left="640"/>
        <w:jc w:val="left"/>
        <w:textAlignment w:val="auto"/>
        <w:rPr>
          <w:rFonts w:hint="eastAsia" w:ascii="宋体" w:hAnsi="宋体" w:eastAsia="宋体" w:cs="宋体"/>
        </w:rPr>
      </w:pPr>
      <w:r>
        <w:rPr>
          <w:rFonts w:hint="eastAsia" w:ascii="宋体" w:hAnsi="宋体" w:eastAsia="宋体" w:cs="宋体"/>
          <w:color w:val="000000"/>
          <w:lang w:val="zh-CN" w:bidi="zh-CN"/>
        </w:rPr>
        <w:t>有下列情形之一的，属于招标人与投标人串通投标：</w:t>
      </w:r>
    </w:p>
    <w:p>
      <w:pPr>
        <w:pStyle w:val="10"/>
        <w:pageBreakBefore w:val="0"/>
        <w:numPr>
          <w:ilvl w:val="0"/>
          <w:numId w:val="7"/>
        </w:numPr>
        <w:shd w:val="clear" w:color="auto" w:fill="auto"/>
        <w:tabs>
          <w:tab w:val="left" w:pos="842"/>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招标人在开标前开启投标文件并将有关信息泄露给其他投标人；</w:t>
      </w:r>
    </w:p>
    <w:p>
      <w:pPr>
        <w:pStyle w:val="10"/>
        <w:pageBreakBefore w:val="0"/>
        <w:numPr>
          <w:ilvl w:val="0"/>
          <w:numId w:val="7"/>
        </w:numPr>
        <w:shd w:val="clear" w:color="auto" w:fill="auto"/>
        <w:tabs>
          <w:tab w:val="left" w:pos="863"/>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招标人直接或间接向投标人泄露标底、评标委员会成员等信息；</w:t>
      </w:r>
    </w:p>
    <w:p>
      <w:pPr>
        <w:pStyle w:val="10"/>
        <w:pageBreakBefore w:val="0"/>
        <w:numPr>
          <w:ilvl w:val="0"/>
          <w:numId w:val="7"/>
        </w:numPr>
        <w:shd w:val="clear" w:color="auto" w:fill="auto"/>
        <w:tabs>
          <w:tab w:val="left" w:pos="863"/>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招标人明示或暗示投标人压低或抬高投标报价；</w:t>
      </w:r>
    </w:p>
    <w:p>
      <w:pPr>
        <w:pStyle w:val="10"/>
        <w:pageBreakBefore w:val="0"/>
        <w:numPr>
          <w:ilvl w:val="0"/>
          <w:numId w:val="7"/>
        </w:numPr>
        <w:shd w:val="clear" w:color="auto" w:fill="auto"/>
        <w:tabs>
          <w:tab w:val="left" w:pos="863"/>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招标人授意投标人撤换、修改投标文件；</w:t>
      </w:r>
    </w:p>
    <w:p>
      <w:pPr>
        <w:pStyle w:val="10"/>
        <w:pageBreakBefore w:val="0"/>
        <w:numPr>
          <w:ilvl w:val="0"/>
          <w:numId w:val="7"/>
        </w:numPr>
        <w:shd w:val="clear" w:color="auto" w:fill="auto"/>
        <w:tabs>
          <w:tab w:val="left" w:pos="863"/>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招标人明示或暗示投标人为特定投标人中标提供方便；</w:t>
      </w:r>
    </w:p>
    <w:p>
      <w:pPr>
        <w:pStyle w:val="10"/>
        <w:pageBreakBefore w:val="0"/>
        <w:numPr>
          <w:ilvl w:val="0"/>
          <w:numId w:val="7"/>
        </w:numPr>
        <w:shd w:val="clear" w:color="auto" w:fill="auto"/>
        <w:tabs>
          <w:tab w:val="left" w:pos="863"/>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招标人与投标人为谋求特定投标人中标而采取的其他串通行为。</w:t>
      </w:r>
    </w:p>
    <w:p>
      <w:pPr>
        <w:pStyle w:val="10"/>
        <w:pageBreakBefore w:val="0"/>
        <w:numPr>
          <w:ilvl w:val="0"/>
          <w:numId w:val="5"/>
        </w:numPr>
        <w:shd w:val="clear" w:color="auto" w:fill="auto"/>
        <w:tabs>
          <w:tab w:val="left" w:pos="1169"/>
        </w:tabs>
        <w:kinsoku/>
        <w:wordWrap w:val="0"/>
        <w:overflowPunct/>
        <w:topLinePunct w:val="0"/>
        <w:bidi w:val="0"/>
        <w:spacing w:before="0" w:beforeLines="0" w:after="0" w:afterLines="0" w:line="398" w:lineRule="exact"/>
        <w:ind w:left="640"/>
        <w:jc w:val="left"/>
        <w:textAlignment w:val="auto"/>
        <w:rPr>
          <w:rFonts w:hint="eastAsia" w:ascii="宋体" w:hAnsi="宋体" w:eastAsia="宋体" w:cs="宋体"/>
        </w:rPr>
      </w:pPr>
      <w:r>
        <w:rPr>
          <w:rFonts w:hint="eastAsia" w:ascii="宋体" w:hAnsi="宋体" w:eastAsia="宋体" w:cs="宋体"/>
          <w:color w:val="000000"/>
          <w:lang w:val="zh-CN" w:bidi="zh-CN"/>
        </w:rPr>
        <w:t>投标人有下列情形之一的，属于弄虚作假的行为：</w:t>
      </w:r>
    </w:p>
    <w:p>
      <w:pPr>
        <w:pStyle w:val="10"/>
        <w:pageBreakBefore w:val="0"/>
        <w:numPr>
          <w:ilvl w:val="0"/>
          <w:numId w:val="8"/>
        </w:numPr>
        <w:shd w:val="clear" w:color="auto" w:fill="auto"/>
        <w:tabs>
          <w:tab w:val="left" w:pos="842"/>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使用通过受让或租借等方式获取的资格、资质证书投标；</w:t>
      </w:r>
    </w:p>
    <w:p>
      <w:pPr>
        <w:pStyle w:val="10"/>
        <w:pageBreakBefore w:val="0"/>
        <w:numPr>
          <w:ilvl w:val="0"/>
          <w:numId w:val="8"/>
        </w:numPr>
        <w:shd w:val="clear" w:color="auto" w:fill="auto"/>
        <w:tabs>
          <w:tab w:val="left" w:pos="863"/>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使用伪造、变造的许可证件；</w:t>
      </w:r>
    </w:p>
    <w:p>
      <w:pPr>
        <w:pStyle w:val="10"/>
        <w:pageBreakBefore w:val="0"/>
        <w:numPr>
          <w:ilvl w:val="0"/>
          <w:numId w:val="8"/>
        </w:numPr>
        <w:shd w:val="clear" w:color="auto" w:fill="auto"/>
        <w:tabs>
          <w:tab w:val="left" w:pos="863"/>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提供虚假的业绩；</w:t>
      </w:r>
    </w:p>
    <w:p>
      <w:pPr>
        <w:pStyle w:val="10"/>
        <w:pageBreakBefore w:val="0"/>
        <w:numPr>
          <w:ilvl w:val="0"/>
          <w:numId w:val="8"/>
        </w:numPr>
        <w:shd w:val="clear" w:color="auto" w:fill="auto"/>
        <w:tabs>
          <w:tab w:val="left" w:pos="863"/>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提供虚假的项目负责人或主要技术人员简历、劳动关系证明；</w:t>
      </w:r>
    </w:p>
    <w:p>
      <w:pPr>
        <w:pStyle w:val="10"/>
        <w:pageBreakBefore w:val="0"/>
        <w:numPr>
          <w:ilvl w:val="0"/>
          <w:numId w:val="8"/>
        </w:numPr>
        <w:shd w:val="clear" w:color="auto" w:fill="auto"/>
        <w:tabs>
          <w:tab w:val="left" w:pos="863"/>
        </w:tabs>
        <w:kinsoku/>
        <w:wordWrap w:val="0"/>
        <w:overflowPunct/>
        <w:topLinePunct w:val="0"/>
        <w:bidi w:val="0"/>
        <w:spacing w:before="0" w:beforeLines="0" w:after="0"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提供虚假的信用状况；</w:t>
      </w:r>
    </w:p>
    <w:p>
      <w:pPr>
        <w:pStyle w:val="10"/>
        <w:pageBreakBefore w:val="0"/>
        <w:numPr>
          <w:ilvl w:val="0"/>
          <w:numId w:val="8"/>
        </w:numPr>
        <w:shd w:val="clear" w:color="auto" w:fill="auto"/>
        <w:tabs>
          <w:tab w:val="left" w:pos="863"/>
        </w:tabs>
        <w:kinsoku/>
        <w:wordWrap w:val="0"/>
        <w:overflowPunct/>
        <w:topLinePunct w:val="0"/>
        <w:bidi w:val="0"/>
        <w:spacing w:before="0" w:beforeLines="0" w:after="355" w:afterLines="0" w:line="398" w:lineRule="exact"/>
        <w:ind w:firstLine="500"/>
        <w:jc w:val="both"/>
        <w:textAlignment w:val="auto"/>
        <w:rPr>
          <w:rFonts w:hint="eastAsia" w:ascii="宋体" w:hAnsi="宋体" w:eastAsia="宋体" w:cs="宋体"/>
        </w:rPr>
      </w:pPr>
      <w:r>
        <w:rPr>
          <w:rFonts w:hint="eastAsia" w:ascii="宋体" w:hAnsi="宋体" w:eastAsia="宋体" w:cs="宋体"/>
          <w:color w:val="000000"/>
          <w:lang w:val="zh-CN" w:bidi="zh-CN"/>
        </w:rPr>
        <w:t>其他弄虚作假的行为。</w:t>
      </w:r>
    </w:p>
    <w:p>
      <w:pPr>
        <w:pStyle w:val="6"/>
        <w:keepNext/>
        <w:keepLines/>
        <w:pageBreakBefore w:val="0"/>
        <w:shd w:val="clear" w:color="auto" w:fill="auto"/>
        <w:kinsoku/>
        <w:wordWrap w:val="0"/>
        <w:overflowPunct/>
        <w:topLinePunct w:val="0"/>
        <w:bidi w:val="0"/>
        <w:spacing w:before="0" w:beforeLines="0" w:after="283" w:afterLines="0"/>
        <w:jc w:val="left"/>
        <w:textAlignment w:val="auto"/>
        <w:rPr>
          <w:rFonts w:hint="eastAsia" w:ascii="宋体" w:hAnsi="宋体" w:eastAsia="宋体" w:cs="宋体"/>
        </w:rPr>
      </w:pPr>
      <w:r>
        <w:rPr>
          <w:rStyle w:val="21"/>
          <w:rFonts w:hint="eastAsia" w:ascii="宋体" w:hAnsi="宋体" w:eastAsia="宋体" w:cs="宋体"/>
          <w:b/>
          <w:bCs/>
        </w:rPr>
        <w:t>3.7</w:t>
      </w:r>
      <w:r>
        <w:rPr>
          <w:rStyle w:val="19"/>
          <w:rFonts w:hint="eastAsia" w:ascii="宋体" w:hAnsi="宋体" w:eastAsia="宋体" w:cs="宋体"/>
          <w:b/>
          <w:bCs/>
        </w:rPr>
        <w:t>投标文件的澄清和说明</w:t>
      </w:r>
    </w:p>
    <w:p>
      <w:pPr>
        <w:pStyle w:val="10"/>
        <w:pageBreakBefore w:val="0"/>
        <w:shd w:val="clear" w:color="auto" w:fill="auto"/>
        <w:kinsoku/>
        <w:wordWrap w:val="0"/>
        <w:overflowPunct/>
        <w:topLinePunct w:val="0"/>
        <w:bidi w:val="0"/>
        <w:spacing w:before="0" w:beforeLines="0" w:after="0" w:afterLines="0" w:line="401" w:lineRule="exact"/>
        <w:ind w:firstLine="500"/>
        <w:jc w:val="both"/>
        <w:textAlignment w:val="auto"/>
        <w:rPr>
          <w:rFonts w:hint="eastAsia" w:ascii="宋体" w:hAnsi="宋体" w:eastAsia="宋体" w:cs="宋体"/>
        </w:rPr>
      </w:pPr>
      <w:r>
        <w:rPr>
          <w:rStyle w:val="22"/>
          <w:rFonts w:hint="eastAsia"/>
          <w:bCs w:val="0"/>
          <w:lang w:eastAsia="zh-CN"/>
        </w:rPr>
        <w:t>3.7.1</w:t>
      </w:r>
      <w:r>
        <w:rPr>
          <w:rFonts w:hint="eastAsia" w:ascii="宋体" w:hAnsi="宋体" w:eastAsia="宋体" w:cs="宋体"/>
          <w:color w:val="000000"/>
          <w:lang w:val="zh-CN" w:bidi="zh-CN"/>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pStyle w:val="10"/>
        <w:pageBreakBefore w:val="0"/>
        <w:shd w:val="clear" w:color="auto" w:fill="auto"/>
        <w:kinsoku/>
        <w:wordWrap w:val="0"/>
        <w:overflowPunct/>
        <w:topLinePunct w:val="0"/>
        <w:bidi w:val="0"/>
        <w:spacing w:before="0" w:beforeLines="0" w:after="0" w:afterLines="0" w:line="401" w:lineRule="exact"/>
        <w:ind w:firstLine="500"/>
        <w:jc w:val="both"/>
        <w:textAlignment w:val="auto"/>
        <w:rPr>
          <w:rFonts w:hint="eastAsia" w:ascii="宋体" w:hAnsi="宋体" w:eastAsia="宋体" w:cs="宋体"/>
        </w:rPr>
      </w:pPr>
      <w:r>
        <w:rPr>
          <w:rStyle w:val="22"/>
          <w:rFonts w:hint="eastAsia"/>
          <w:bCs w:val="0"/>
          <w:lang w:eastAsia="zh-CN"/>
        </w:rPr>
        <w:t>3.7.2</w:t>
      </w:r>
      <w:r>
        <w:rPr>
          <w:rFonts w:hint="eastAsia" w:ascii="宋体" w:hAnsi="宋体" w:eastAsia="宋体" w:cs="宋体"/>
          <w:color w:val="000000"/>
          <w:lang w:val="zh-CN" w:bidi="zh-CN"/>
        </w:rPr>
        <w:t>澄清和说明不得超出投标文件的范围或改变投标文件的实质性内容(算术性错误的修正除外)。投标人的书面澄清、说明属于投标文件的组成部分。</w:t>
      </w:r>
    </w:p>
    <w:p>
      <w:pPr>
        <w:pStyle w:val="10"/>
        <w:pageBreakBefore w:val="0"/>
        <w:shd w:val="clear" w:color="auto" w:fill="auto"/>
        <w:kinsoku/>
        <w:wordWrap w:val="0"/>
        <w:overflowPunct/>
        <w:topLinePunct w:val="0"/>
        <w:bidi w:val="0"/>
        <w:spacing w:before="0" w:beforeLines="0" w:after="0" w:afterLines="0" w:line="401" w:lineRule="exact"/>
        <w:ind w:firstLine="500"/>
        <w:jc w:val="both"/>
        <w:textAlignment w:val="auto"/>
        <w:rPr>
          <w:rFonts w:hint="eastAsia" w:ascii="宋体" w:hAnsi="宋体" w:eastAsia="宋体" w:cs="宋体"/>
        </w:rPr>
      </w:pPr>
      <w:r>
        <w:rPr>
          <w:rStyle w:val="22"/>
          <w:rFonts w:hint="eastAsia"/>
          <w:bCs w:val="0"/>
          <w:lang w:eastAsia="zh-CN"/>
        </w:rPr>
        <w:t>3.7.3</w:t>
      </w:r>
      <w:r>
        <w:rPr>
          <w:rFonts w:hint="eastAsia" w:ascii="宋体" w:hAnsi="宋体" w:eastAsia="宋体" w:cs="宋体"/>
          <w:color w:val="000000"/>
          <w:lang w:val="zh-CN" w:bidi="zh-CN"/>
        </w:rPr>
        <w:t>评标委员会不得暗示或诱导投标人作出澄清、说明，对投标人提交的澄清、</w:t>
      </w:r>
    </w:p>
    <w:p>
      <w:pPr>
        <w:pStyle w:val="10"/>
        <w:pageBreakBefore w:val="0"/>
        <w:shd w:val="clear" w:color="auto" w:fill="auto"/>
        <w:kinsoku/>
        <w:wordWrap w:val="0"/>
        <w:overflowPunct/>
        <w:topLinePunct w:val="0"/>
        <w:bidi w:val="0"/>
        <w:spacing w:before="0" w:beforeLines="0" w:after="0" w:afterLines="0" w:line="406" w:lineRule="exact"/>
        <w:jc w:val="left"/>
        <w:textAlignment w:val="auto"/>
        <w:rPr>
          <w:rFonts w:hint="eastAsia" w:ascii="宋体" w:hAnsi="宋体" w:eastAsia="宋体" w:cs="宋体"/>
        </w:rPr>
      </w:pPr>
      <w:r>
        <w:rPr>
          <w:rFonts w:hint="eastAsia" w:ascii="宋体" w:hAnsi="宋体" w:eastAsia="宋体" w:cs="宋体"/>
          <w:color w:val="000000"/>
          <w:lang w:val="zh-CN" w:bidi="zh-CN"/>
        </w:rPr>
        <w:t>说明有疑问的，可以要求投标人进一步澄清或说明，直至满足评标委员会的要求。</w:t>
      </w:r>
    </w:p>
    <w:p>
      <w:pPr>
        <w:pStyle w:val="10"/>
        <w:pageBreakBefore w:val="0"/>
        <w:shd w:val="clear" w:color="auto" w:fill="auto"/>
        <w:kinsoku/>
        <w:wordWrap w:val="0"/>
        <w:overflowPunct/>
        <w:topLinePunct w:val="0"/>
        <w:bidi w:val="0"/>
        <w:spacing w:before="0" w:beforeLines="0" w:after="361" w:afterLines="0" w:line="406" w:lineRule="exact"/>
        <w:ind w:firstLine="520"/>
        <w:jc w:val="both"/>
        <w:textAlignment w:val="auto"/>
        <w:rPr>
          <w:rFonts w:hint="eastAsia" w:ascii="宋体" w:hAnsi="宋体" w:eastAsia="宋体" w:cs="宋体"/>
        </w:rPr>
      </w:pPr>
      <w:r>
        <w:rPr>
          <w:rStyle w:val="22"/>
          <w:rFonts w:hint="eastAsia"/>
          <w:bCs w:val="0"/>
          <w:lang w:eastAsia="zh-CN"/>
        </w:rPr>
        <w:t>3.7.4</w:t>
      </w:r>
      <w:r>
        <w:rPr>
          <w:rFonts w:hint="eastAsia" w:ascii="宋体" w:hAnsi="宋体" w:eastAsia="宋体" w:cs="宋体"/>
          <w:color w:val="000000"/>
          <w:lang w:val="zh-CN" w:bidi="zh-CN"/>
        </w:rPr>
        <w:t>凡超出招标文件规定的或给委托人带来未曾要求的利益的变化、偏差或其他因素在评标时不予考虑。</w:t>
      </w:r>
    </w:p>
    <w:p>
      <w:pPr>
        <w:pStyle w:val="6"/>
        <w:keepNext/>
        <w:keepLines/>
        <w:pageBreakBefore w:val="0"/>
        <w:shd w:val="clear" w:color="auto" w:fill="auto"/>
        <w:kinsoku/>
        <w:wordWrap w:val="0"/>
        <w:overflowPunct/>
        <w:topLinePunct w:val="0"/>
        <w:bidi w:val="0"/>
        <w:spacing w:before="0" w:beforeLines="0" w:after="283" w:afterLines="0"/>
        <w:jc w:val="left"/>
        <w:textAlignment w:val="auto"/>
        <w:rPr>
          <w:rFonts w:hint="eastAsia" w:ascii="宋体" w:hAnsi="宋体" w:eastAsia="宋体" w:cs="宋体"/>
        </w:rPr>
      </w:pPr>
      <w:r>
        <w:rPr>
          <w:rStyle w:val="19"/>
          <w:rFonts w:hint="eastAsia" w:ascii="宋体" w:hAnsi="宋体" w:eastAsia="宋体" w:cs="宋体"/>
          <w:b/>
          <w:bCs/>
          <w:lang w:val="en-US" w:bidi="en-US"/>
        </w:rPr>
        <w:t>3.8</w:t>
      </w:r>
      <w:r>
        <w:rPr>
          <w:rStyle w:val="19"/>
          <w:rFonts w:hint="eastAsia" w:ascii="宋体" w:hAnsi="宋体" w:eastAsia="宋体" w:cs="宋体"/>
          <w:b/>
          <w:bCs/>
        </w:rPr>
        <w:t>不得否决投标的情形</w:t>
      </w:r>
    </w:p>
    <w:p>
      <w:pPr>
        <w:pStyle w:val="10"/>
        <w:pageBreakBefore w:val="0"/>
        <w:shd w:val="clear" w:color="auto" w:fill="auto"/>
        <w:kinsoku/>
        <w:wordWrap w:val="0"/>
        <w:overflowPunct/>
        <w:topLinePunct w:val="0"/>
        <w:bidi w:val="0"/>
        <w:spacing w:before="0" w:beforeLines="0" w:after="277" w:afterLines="0" w:line="401" w:lineRule="exact"/>
        <w:ind w:firstLine="520"/>
        <w:jc w:val="both"/>
        <w:textAlignment w:val="auto"/>
        <w:rPr>
          <w:rFonts w:hint="eastAsia" w:ascii="宋体" w:hAnsi="宋体" w:eastAsia="宋体" w:cs="宋体"/>
        </w:rPr>
      </w:pPr>
      <w:r>
        <w:rPr>
          <w:rFonts w:hint="eastAsia" w:ascii="宋体" w:hAnsi="宋体" w:eastAsia="宋体" w:cs="宋体"/>
          <w:color w:val="000000"/>
          <w:lang w:val="zh-CN" w:bidi="zh-CN"/>
        </w:rPr>
        <w:t>投标文件存在第二章“投标人须知”第</w:t>
      </w:r>
      <w:r>
        <w:rPr>
          <w:rStyle w:val="22"/>
          <w:rFonts w:hint="eastAsia"/>
          <w:bCs w:val="0"/>
          <w:lang w:eastAsia="zh-CN"/>
        </w:rPr>
        <w:t>1.12.3</w:t>
      </w:r>
      <w:r>
        <w:rPr>
          <w:rFonts w:hint="eastAsia" w:ascii="宋体" w:hAnsi="宋体" w:eastAsia="宋体" w:cs="宋体"/>
          <w:color w:val="000000"/>
          <w:lang w:val="zh-CN" w:bidi="zh-CN"/>
        </w:rPr>
        <w:t>项所列情形的，均视为细微偏差，评标委员会不得否决投标人的投标，应按照第二章“投标人须知”第</w:t>
      </w:r>
      <w:r>
        <w:rPr>
          <w:rStyle w:val="22"/>
          <w:rFonts w:hint="eastAsia"/>
          <w:bCs w:val="0"/>
          <w:lang w:eastAsia="zh-CN"/>
        </w:rPr>
        <w:t>1.12.4</w:t>
      </w:r>
      <w:r>
        <w:rPr>
          <w:rFonts w:hint="eastAsia" w:ascii="宋体" w:hAnsi="宋体" w:eastAsia="宋体" w:cs="宋体"/>
          <w:color w:val="000000"/>
          <w:lang w:val="zh-CN" w:bidi="zh-CN"/>
        </w:rPr>
        <w:t>项规定的原则处理。</w:t>
      </w:r>
    </w:p>
    <w:p>
      <w:pPr>
        <w:pStyle w:val="6"/>
        <w:keepNext/>
        <w:keepLines/>
        <w:pageBreakBefore w:val="0"/>
        <w:numPr>
          <w:ilvl w:val="0"/>
          <w:numId w:val="9"/>
        </w:numPr>
        <w:shd w:val="clear" w:color="auto" w:fill="auto"/>
        <w:tabs>
          <w:tab w:val="left" w:pos="351"/>
        </w:tabs>
        <w:kinsoku/>
        <w:wordWrap w:val="0"/>
        <w:overflowPunct/>
        <w:topLinePunct w:val="0"/>
        <w:bidi w:val="0"/>
        <w:spacing w:before="0" w:beforeLines="0" w:after="282" w:afterLines="0"/>
        <w:jc w:val="left"/>
        <w:textAlignment w:val="auto"/>
        <w:rPr>
          <w:rFonts w:hint="eastAsia" w:ascii="宋体" w:hAnsi="宋体" w:eastAsia="宋体" w:cs="宋体"/>
        </w:rPr>
      </w:pPr>
      <w:r>
        <w:rPr>
          <w:rStyle w:val="19"/>
          <w:rFonts w:hint="eastAsia" w:ascii="宋体" w:hAnsi="宋体" w:eastAsia="宋体" w:cs="宋体"/>
          <w:b/>
          <w:bCs/>
        </w:rPr>
        <w:t>9评标结果</w:t>
      </w:r>
    </w:p>
    <w:p>
      <w:pPr>
        <w:pStyle w:val="10"/>
        <w:pageBreakBefore w:val="0"/>
        <w:shd w:val="clear" w:color="auto" w:fill="auto"/>
        <w:kinsoku/>
        <w:wordWrap w:val="0"/>
        <w:overflowPunct/>
        <w:topLinePunct w:val="0"/>
        <w:bidi w:val="0"/>
        <w:spacing w:before="0" w:beforeLines="0" w:after="0" w:afterLines="0" w:line="403" w:lineRule="exact"/>
        <w:ind w:firstLine="520"/>
        <w:jc w:val="both"/>
        <w:textAlignment w:val="auto"/>
        <w:rPr>
          <w:rFonts w:hint="eastAsia" w:ascii="宋体" w:hAnsi="宋体" w:eastAsia="宋体" w:cs="宋体"/>
        </w:rPr>
      </w:pPr>
      <w:r>
        <w:rPr>
          <w:rStyle w:val="22"/>
          <w:rFonts w:hint="eastAsia"/>
          <w:bCs w:val="0"/>
          <w:lang w:eastAsia="zh-CN"/>
        </w:rPr>
        <w:t>3.9.1</w:t>
      </w:r>
      <w:r>
        <w:rPr>
          <w:rFonts w:hint="eastAsia" w:ascii="宋体" w:hAnsi="宋体" w:eastAsia="宋体" w:cs="宋体"/>
          <w:color w:val="000000"/>
          <w:lang w:val="zh-CN" w:bidi="zh-CN"/>
        </w:rPr>
        <w:t>除第二章“投标人须知”前附表授权直接确定中标人外，评标委员会按照得分由高到低的顺序推荐中标候选人，并标明排序。</w:t>
      </w:r>
    </w:p>
    <w:p>
      <w:pPr>
        <w:pageBreakBefore w:val="0"/>
        <w:kinsoku/>
        <w:wordWrap w:val="0"/>
        <w:overflowPunct/>
        <w:topLinePunct w:val="0"/>
        <w:bidi w:val="0"/>
        <w:spacing w:line="360" w:lineRule="auto"/>
        <w:ind w:firstLine="601" w:firstLineChars="300"/>
        <w:textAlignment w:val="auto"/>
        <w:outlineLvl w:val="1"/>
        <w:rPr>
          <w:rFonts w:hint="eastAsia" w:ascii="宋体" w:hAnsi="宋体" w:cs="宋体"/>
          <w:color w:val="000000"/>
          <w:lang w:val="zh-CN" w:bidi="zh-CN"/>
        </w:rPr>
      </w:pPr>
      <w:r>
        <w:rPr>
          <w:rStyle w:val="22"/>
          <w:rFonts w:hint="eastAsia"/>
          <w:bCs w:val="0"/>
          <w:lang w:eastAsia="zh-CN"/>
        </w:rPr>
        <w:t>3.9.2</w:t>
      </w:r>
      <w:r>
        <w:rPr>
          <w:rFonts w:hint="eastAsia" w:ascii="宋体" w:hAnsi="宋体" w:cs="宋体"/>
          <w:color w:val="000000"/>
          <w:lang w:val="zh-CN" w:bidi="zh-CN"/>
        </w:rPr>
        <w:t>评标委员会完成评标后，应向招标人提交书面评标报告。</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en-US" w:eastAsia="en-US" w:bidi="en-US"/>
      </w:rPr>
    </w:lvl>
  </w:abstractNum>
  <w:abstractNum w:abstractNumId="1">
    <w:nsid w:val="0000000C"/>
    <w:multiLevelType w:val="singleLevel"/>
    <w:tmpl w:val="0000000C"/>
    <w:lvl w:ilvl="0" w:tentative="0">
      <w:start w:val="1"/>
      <w:numFmt w:val="decimal"/>
      <w:lvlText w:val="(%1)"/>
      <w:lvlJc w:val="left"/>
      <w:rPr>
        <w:rFonts w:ascii="PMingLiU" w:hAnsi="PMingLiU" w:eastAsia="PMingLiU" w:cs="PMingLiU"/>
        <w:b w:val="0"/>
        <w:bCs w:val="0"/>
        <w:i w:val="0"/>
        <w:iCs w:val="0"/>
        <w:smallCaps w:val="0"/>
        <w:strike w:val="0"/>
        <w:color w:val="000000"/>
        <w:spacing w:val="0"/>
        <w:w w:val="100"/>
        <w:position w:val="0"/>
        <w:sz w:val="22"/>
        <w:szCs w:val="22"/>
        <w:u w:val="none"/>
        <w:lang w:val="en-US" w:eastAsia="en-US" w:bidi="en-US"/>
      </w:rPr>
    </w:lvl>
  </w:abstractNum>
  <w:abstractNum w:abstractNumId="2">
    <w:nsid w:val="0000000D"/>
    <w:multiLevelType w:val="singleLevel"/>
    <w:tmpl w:val="0000000D"/>
    <w:lvl w:ilvl="0" w:tentative="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en-US" w:eastAsia="en-US" w:bidi="en-US"/>
      </w:rPr>
    </w:lvl>
  </w:abstractNum>
  <w:abstractNum w:abstractNumId="3">
    <w:nsid w:val="0000001A"/>
    <w:multiLevelType w:val="singleLevel"/>
    <w:tmpl w:val="0000001A"/>
    <w:lvl w:ilvl="0" w:tentative="0">
      <w:start w:val="1"/>
      <w:numFmt w:val="decimal"/>
      <w:lvlText w:val="(%1)"/>
      <w:lvlJc w:val="left"/>
      <w:rPr>
        <w:rFonts w:ascii="PMingLiU" w:hAnsi="PMingLiU" w:eastAsia="PMingLiU" w:cs="PMingLiU"/>
        <w:b w:val="0"/>
        <w:bCs w:val="0"/>
        <w:i w:val="0"/>
        <w:iCs w:val="0"/>
        <w:smallCaps w:val="0"/>
        <w:strike w:val="0"/>
        <w:color w:val="000000"/>
        <w:spacing w:val="0"/>
        <w:w w:val="100"/>
        <w:position w:val="0"/>
        <w:sz w:val="22"/>
        <w:szCs w:val="22"/>
        <w:u w:val="none"/>
        <w:lang w:val="en-US" w:eastAsia="en-US" w:bidi="en-US"/>
      </w:rPr>
    </w:lvl>
  </w:abstractNum>
  <w:abstractNum w:abstractNumId="4">
    <w:nsid w:val="00000021"/>
    <w:multiLevelType w:val="singleLevel"/>
    <w:tmpl w:val="00000021"/>
    <w:lvl w:ilvl="0" w:tentative="0">
      <w:start w:val="1"/>
      <w:numFmt w:val="decimal"/>
      <w:lvlText w:val="%1."/>
      <w:lvlJc w:val="left"/>
      <w:rPr>
        <w:rFonts w:ascii="PMingLiU" w:hAnsi="PMingLiU" w:eastAsia="PMingLiU" w:cs="PMingLiU"/>
        <w:b/>
        <w:bCs/>
        <w:i w:val="0"/>
        <w:iCs w:val="0"/>
        <w:smallCaps w:val="0"/>
        <w:strike w:val="0"/>
        <w:color w:val="000000"/>
        <w:spacing w:val="10"/>
        <w:w w:val="100"/>
        <w:position w:val="0"/>
        <w:sz w:val="23"/>
        <w:szCs w:val="23"/>
        <w:u w:val="none"/>
        <w:lang w:val="en-US" w:eastAsia="en-US" w:bidi="en-US"/>
      </w:rPr>
    </w:lvl>
  </w:abstractNum>
  <w:abstractNum w:abstractNumId="5">
    <w:nsid w:val="00000022"/>
    <w:multiLevelType w:val="singleLevel"/>
    <w:tmpl w:val="00000022"/>
    <w:lvl w:ilvl="0" w:tentative="0">
      <w:start w:val="3"/>
      <w:numFmt w:val="decimal"/>
      <w:lvlText w:val="%1."/>
      <w:lvlJc w:val="left"/>
      <w:rPr>
        <w:rFonts w:ascii="PMingLiU" w:hAnsi="PMingLiU" w:eastAsia="PMingLiU" w:cs="PMingLiU"/>
        <w:b/>
        <w:bCs/>
        <w:i w:val="0"/>
        <w:iCs w:val="0"/>
        <w:smallCaps w:val="0"/>
        <w:strike w:val="0"/>
        <w:color w:val="000000"/>
        <w:spacing w:val="10"/>
        <w:w w:val="100"/>
        <w:position w:val="0"/>
        <w:sz w:val="23"/>
        <w:szCs w:val="23"/>
        <w:u w:val="none"/>
        <w:lang w:val="en-US" w:eastAsia="en-US" w:bidi="en-US"/>
      </w:rPr>
    </w:lvl>
  </w:abstractNum>
  <w:abstractNum w:abstractNumId="6">
    <w:nsid w:val="00000028"/>
    <w:multiLevelType w:val="singleLevel"/>
    <w:tmpl w:val="00000028"/>
    <w:lvl w:ilvl="0" w:tentative="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en-US" w:eastAsia="en-US" w:bidi="en-US"/>
      </w:rPr>
    </w:lvl>
  </w:abstractNum>
  <w:abstractNum w:abstractNumId="7">
    <w:nsid w:val="0000002E"/>
    <w:multiLevelType w:val="singleLevel"/>
    <w:tmpl w:val="0000002E"/>
    <w:lvl w:ilvl="0" w:tentative="0">
      <w:start w:val="1"/>
      <w:numFmt w:val="decimal"/>
      <w:lvlText w:val="(%1)"/>
      <w:lvlJc w:val="left"/>
      <w:rPr>
        <w:rFonts w:ascii="PMingLiU" w:hAnsi="PMingLiU" w:eastAsia="PMingLiU" w:cs="PMingLiU"/>
        <w:b w:val="0"/>
        <w:bCs w:val="0"/>
        <w:i w:val="0"/>
        <w:iCs w:val="0"/>
        <w:smallCaps w:val="0"/>
        <w:strike w:val="0"/>
        <w:color w:val="000000"/>
        <w:spacing w:val="0"/>
        <w:w w:val="100"/>
        <w:position w:val="0"/>
        <w:sz w:val="22"/>
        <w:szCs w:val="22"/>
        <w:u w:val="none"/>
        <w:lang w:val="en-US" w:eastAsia="en-US" w:bidi="en-US"/>
      </w:rPr>
    </w:lvl>
  </w:abstractNum>
  <w:abstractNum w:abstractNumId="8">
    <w:nsid w:val="00000031"/>
    <w:multiLevelType w:val="singleLevel"/>
    <w:tmpl w:val="00000031"/>
    <w:lvl w:ilvl="0" w:tentative="0">
      <w:start w:val="1"/>
      <w:numFmt w:val="decimal"/>
      <w:lvlText w:val="(%1)"/>
      <w:lvlJc w:val="left"/>
      <w:rPr>
        <w:rFonts w:ascii="PMingLiU" w:hAnsi="PMingLiU" w:eastAsia="PMingLiU" w:cs="PMingLiU"/>
        <w:b w:val="0"/>
        <w:bCs w:val="0"/>
        <w:i w:val="0"/>
        <w:iCs w:val="0"/>
        <w:smallCaps w:val="0"/>
        <w:strike w:val="0"/>
        <w:color w:val="000000"/>
        <w:spacing w:val="0"/>
        <w:w w:val="100"/>
        <w:position w:val="0"/>
        <w:sz w:val="22"/>
        <w:szCs w:val="22"/>
        <w:u w:val="none"/>
        <w:lang w:val="en-US" w:eastAsia="en-US" w:bidi="en-US"/>
      </w:rPr>
    </w:lvl>
  </w:abstractNum>
  <w:num w:numId="1">
    <w:abstractNumId w:val="4"/>
  </w:num>
  <w:num w:numId="2">
    <w:abstractNumId w:val="8"/>
  </w:num>
  <w:num w:numId="3">
    <w:abstractNumId w:val="7"/>
  </w:num>
  <w:num w:numId="4">
    <w:abstractNumId w:val="1"/>
  </w:num>
  <w:num w:numId="5">
    <w:abstractNumId w:val="3"/>
  </w:num>
  <w:num w:numId="6">
    <w:abstractNumId w:val="2"/>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VjYjJhYzUwNDA2YjQ3MTY4YTNmNmRjZTFjYWYifQ=="/>
  </w:docVars>
  <w:rsids>
    <w:rsidRoot w:val="79F04864"/>
    <w:rsid w:val="1610623E"/>
    <w:rsid w:val="21D92879"/>
    <w:rsid w:val="2AD25AA6"/>
    <w:rsid w:val="37A93DF7"/>
    <w:rsid w:val="4FDC0D8E"/>
    <w:rsid w:val="56962378"/>
    <w:rsid w:val="5F6D2A6C"/>
    <w:rsid w:val="658400CE"/>
    <w:rsid w:val="70EE795A"/>
    <w:rsid w:val="79F04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Arial"/>
      <w:color w:val="0000FF"/>
      <w:kern w:val="0"/>
      <w:sz w:val="24"/>
    </w:rPr>
  </w:style>
  <w:style w:type="paragraph" w:customStyle="1" w:styleId="6">
    <w:name w:val="Heading #6|1"/>
    <w:basedOn w:val="1"/>
    <w:link w:val="18"/>
    <w:qFormat/>
    <w:uiPriority w:val="0"/>
    <w:pPr>
      <w:widowControl w:val="0"/>
      <w:shd w:val="clear" w:color="auto" w:fill="FFFFFF"/>
      <w:spacing w:before="120" w:beforeLines="0" w:after="320" w:afterLines="0" w:line="230" w:lineRule="exact"/>
      <w:jc w:val="both"/>
      <w:outlineLvl w:val="5"/>
    </w:pPr>
    <w:rPr>
      <w:rFonts w:ascii="PMingLiU" w:hAnsi="PMingLiU" w:eastAsia="PMingLiU" w:cs="PMingLiU"/>
      <w:b/>
      <w:bCs/>
      <w:sz w:val="23"/>
      <w:szCs w:val="23"/>
      <w:u w:val="none"/>
    </w:rPr>
  </w:style>
  <w:style w:type="paragraph" w:customStyle="1" w:styleId="7">
    <w:name w:val="Heading #5|1"/>
    <w:basedOn w:val="1"/>
    <w:link w:val="9"/>
    <w:qFormat/>
    <w:uiPriority w:val="0"/>
    <w:pPr>
      <w:widowControl w:val="0"/>
      <w:shd w:val="clear" w:color="auto" w:fill="FFFFFF"/>
      <w:spacing w:before="460" w:beforeLines="0" w:after="780" w:afterLines="0" w:line="260" w:lineRule="exact"/>
      <w:jc w:val="distribute"/>
      <w:outlineLvl w:val="4"/>
    </w:pPr>
    <w:rPr>
      <w:rFonts w:ascii="PMingLiU" w:hAnsi="PMingLiU" w:eastAsia="PMingLiU" w:cs="PMingLiU"/>
      <w:sz w:val="26"/>
      <w:szCs w:val="26"/>
      <w:u w:val="none"/>
    </w:rPr>
  </w:style>
  <w:style w:type="character" w:customStyle="1" w:styleId="8">
    <w:name w:val="Heading #5|1 + Spacing 2 pt"/>
    <w:basedOn w:val="9"/>
    <w:qFormat/>
    <w:uiPriority w:val="0"/>
    <w:rPr>
      <w:color w:val="000000"/>
      <w:spacing w:val="50"/>
      <w:w w:val="100"/>
      <w:position w:val="0"/>
      <w:lang w:val="zh-CN" w:eastAsia="zh-CN" w:bidi="zh-CN"/>
    </w:rPr>
  </w:style>
  <w:style w:type="character" w:customStyle="1" w:styleId="9">
    <w:name w:val="Heading #5|1_"/>
    <w:basedOn w:val="5"/>
    <w:link w:val="7"/>
    <w:qFormat/>
    <w:uiPriority w:val="0"/>
    <w:rPr>
      <w:rFonts w:ascii="PMingLiU" w:hAnsi="PMingLiU" w:eastAsia="PMingLiU" w:cs="PMingLiU"/>
      <w:sz w:val="26"/>
      <w:szCs w:val="26"/>
      <w:u w:val="none"/>
    </w:rPr>
  </w:style>
  <w:style w:type="paragraph" w:customStyle="1" w:styleId="10">
    <w:name w:val="Body text|221"/>
    <w:basedOn w:val="1"/>
    <w:link w:val="16"/>
    <w:qFormat/>
    <w:uiPriority w:val="0"/>
    <w:pPr>
      <w:widowControl w:val="0"/>
      <w:shd w:val="clear" w:color="auto" w:fill="FFFFFF"/>
      <w:spacing w:before="360" w:beforeLines="0" w:after="180" w:afterLines="0" w:line="220" w:lineRule="exact"/>
      <w:jc w:val="distribute"/>
    </w:pPr>
    <w:rPr>
      <w:rFonts w:ascii="PMingLiU" w:hAnsi="PMingLiU" w:eastAsia="PMingLiU" w:cs="PMingLiU"/>
      <w:sz w:val="22"/>
      <w:szCs w:val="22"/>
      <w:u w:val="none"/>
    </w:rPr>
  </w:style>
  <w:style w:type="paragraph" w:customStyle="1" w:styleId="11">
    <w:name w:val="Body text|7"/>
    <w:basedOn w:val="1"/>
    <w:link w:val="13"/>
    <w:qFormat/>
    <w:uiPriority w:val="0"/>
    <w:pPr>
      <w:widowControl w:val="0"/>
      <w:shd w:val="clear" w:color="auto" w:fill="FFFFFF"/>
      <w:spacing w:before="320" w:beforeLines="0" w:line="454" w:lineRule="exact"/>
      <w:jc w:val="distribute"/>
    </w:pPr>
    <w:rPr>
      <w:rFonts w:ascii="PMingLiU" w:hAnsi="PMingLiU" w:eastAsia="PMingLiU" w:cs="PMingLiU"/>
      <w:b/>
      <w:bCs/>
      <w:sz w:val="23"/>
      <w:szCs w:val="23"/>
      <w:u w:val="none"/>
    </w:rPr>
  </w:style>
  <w:style w:type="character" w:customStyle="1" w:styleId="12">
    <w:name w:val="Body text|7 + 13 pt"/>
    <w:basedOn w:val="13"/>
    <w:qFormat/>
    <w:uiPriority w:val="0"/>
    <w:rPr>
      <w:color w:val="000000"/>
      <w:spacing w:val="50"/>
      <w:w w:val="100"/>
      <w:position w:val="0"/>
      <w:sz w:val="26"/>
      <w:szCs w:val="26"/>
      <w:lang w:val="zh-CN" w:eastAsia="zh-CN" w:bidi="zh-CN"/>
    </w:rPr>
  </w:style>
  <w:style w:type="character" w:customStyle="1" w:styleId="13">
    <w:name w:val="Body text|7_"/>
    <w:basedOn w:val="5"/>
    <w:link w:val="11"/>
    <w:qFormat/>
    <w:uiPriority w:val="0"/>
    <w:rPr>
      <w:rFonts w:ascii="PMingLiU" w:hAnsi="PMingLiU" w:eastAsia="PMingLiU" w:cs="PMingLiU"/>
      <w:b/>
      <w:bCs/>
      <w:sz w:val="23"/>
      <w:szCs w:val="23"/>
      <w:u w:val="none"/>
    </w:rPr>
  </w:style>
  <w:style w:type="character" w:customStyle="1" w:styleId="14">
    <w:name w:val="Body text|7 + Spacing 0 pt"/>
    <w:basedOn w:val="13"/>
    <w:qFormat/>
    <w:uiPriority w:val="0"/>
    <w:rPr>
      <w:color w:val="000000"/>
      <w:spacing w:val="10"/>
      <w:w w:val="100"/>
      <w:position w:val="0"/>
      <w:lang w:val="zh-CN" w:eastAsia="zh-CN" w:bidi="zh-CN"/>
    </w:rPr>
  </w:style>
  <w:style w:type="character" w:customStyle="1" w:styleId="15">
    <w:name w:val="Body text|2 + Times New Roman"/>
    <w:basedOn w:val="16"/>
    <w:qFormat/>
    <w:uiPriority w:val="0"/>
    <w:rPr>
      <w:rFonts w:ascii="Times New Roman" w:hAnsi="Times New Roman" w:eastAsia="Times New Roman" w:cs="Times New Roman"/>
      <w:color w:val="000000"/>
      <w:spacing w:val="0"/>
      <w:w w:val="100"/>
      <w:position w:val="0"/>
      <w:sz w:val="24"/>
      <w:szCs w:val="24"/>
      <w:lang w:val="en-US" w:eastAsia="en-US" w:bidi="en-US"/>
    </w:rPr>
  </w:style>
  <w:style w:type="character" w:customStyle="1" w:styleId="16">
    <w:name w:val="Body text|2_"/>
    <w:basedOn w:val="5"/>
    <w:link w:val="10"/>
    <w:qFormat/>
    <w:uiPriority w:val="0"/>
    <w:rPr>
      <w:rFonts w:ascii="PMingLiU" w:hAnsi="PMingLiU" w:eastAsia="PMingLiU" w:cs="PMingLiU"/>
      <w:sz w:val="22"/>
      <w:szCs w:val="22"/>
      <w:u w:val="none"/>
    </w:rPr>
  </w:style>
  <w:style w:type="character" w:customStyle="1" w:styleId="17">
    <w:name w:val="Heading #6|1 + Times New Roman"/>
    <w:basedOn w:val="18"/>
    <w:qFormat/>
    <w:uiPriority w:val="0"/>
    <w:rPr>
      <w:rFonts w:ascii="Times New Roman" w:hAnsi="Times New Roman" w:eastAsia="Times New Roman" w:cs="Times New Roman"/>
      <w:color w:val="000000"/>
      <w:spacing w:val="40"/>
      <w:w w:val="100"/>
      <w:position w:val="0"/>
      <w:sz w:val="24"/>
      <w:szCs w:val="24"/>
      <w:lang w:val="en-US" w:eastAsia="en-US" w:bidi="en-US"/>
    </w:rPr>
  </w:style>
  <w:style w:type="character" w:customStyle="1" w:styleId="18">
    <w:name w:val="Heading #6|1_"/>
    <w:basedOn w:val="5"/>
    <w:link w:val="6"/>
    <w:qFormat/>
    <w:uiPriority w:val="0"/>
    <w:rPr>
      <w:rFonts w:ascii="PMingLiU" w:hAnsi="PMingLiU" w:eastAsia="PMingLiU" w:cs="PMingLiU"/>
      <w:b/>
      <w:bCs/>
      <w:sz w:val="23"/>
      <w:szCs w:val="23"/>
      <w:u w:val="none"/>
    </w:rPr>
  </w:style>
  <w:style w:type="character" w:customStyle="1" w:styleId="19">
    <w:name w:val="Heading #6|1 + Spacing 0 pt"/>
    <w:basedOn w:val="18"/>
    <w:qFormat/>
    <w:uiPriority w:val="0"/>
    <w:rPr>
      <w:color w:val="000000"/>
      <w:spacing w:val="10"/>
      <w:w w:val="100"/>
      <w:position w:val="0"/>
      <w:lang w:val="zh-CN" w:eastAsia="zh-CN" w:bidi="zh-CN"/>
    </w:rPr>
  </w:style>
  <w:style w:type="character" w:customStyle="1" w:styleId="20">
    <w:name w:val="Body text|2 + 11.5 pt"/>
    <w:basedOn w:val="16"/>
    <w:qFormat/>
    <w:uiPriority w:val="0"/>
    <w:rPr>
      <w:b/>
      <w:bCs/>
      <w:color w:val="000000"/>
      <w:spacing w:val="0"/>
      <w:w w:val="100"/>
      <w:position w:val="0"/>
      <w:sz w:val="23"/>
      <w:szCs w:val="23"/>
      <w:lang w:val="zh-CN" w:eastAsia="zh-CN" w:bidi="zh-CN"/>
    </w:rPr>
  </w:style>
  <w:style w:type="character" w:customStyle="1" w:styleId="21">
    <w:name w:val="Heading #6|1 + 11 pt"/>
    <w:basedOn w:val="18"/>
    <w:qFormat/>
    <w:uiPriority w:val="0"/>
    <w:rPr>
      <w:color w:val="000000"/>
      <w:spacing w:val="0"/>
      <w:w w:val="100"/>
      <w:position w:val="0"/>
      <w:sz w:val="22"/>
      <w:szCs w:val="22"/>
      <w:lang w:val="en-US" w:eastAsia="en-US" w:bidi="en-US"/>
    </w:rPr>
  </w:style>
  <w:style w:type="character" w:customStyle="1" w:styleId="22">
    <w:name w:val="Body text|2 + 10 pt"/>
    <w:basedOn w:val="16"/>
    <w:qFormat/>
    <w:uiPriority w:val="0"/>
    <w:rPr>
      <w:b/>
      <w:bCs/>
      <w:color w:val="000000"/>
      <w:spacing w:val="0"/>
      <w:w w:val="100"/>
      <w:position w:val="0"/>
      <w:sz w:val="20"/>
      <w:szCs w:val="20"/>
      <w:lang w:val="en-US"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663</Words>
  <Characters>727</Characters>
  <Lines>0</Lines>
  <Paragraphs>0</Paragraphs>
  <TotalTime>0</TotalTime>
  <ScaleCrop>false</ScaleCrop>
  <LinksUpToDate>false</LinksUpToDate>
  <CharactersWithSpaces>738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2022-08-25T09:09:00Z</dcterms:created>
  <dc:creator>冉</dc:creator>
  <cp:lastModifiedBy>冉</cp:lastModifiedBy>
  <dcterms:modified xsi:type="dcterms:W3CDTF">2022-08-25T09:13:50Z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55DF3E8E905F42EDBC10989B82905B97</vt:lpwstr>
  </property>
</Properties>
</file>