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tabs>
          <w:tab w:val="left" w:pos="3433"/>
        </w:tabs>
        <w:kinsoku/>
        <w:wordWrap w:val="0"/>
        <w:overflowPunct/>
        <w:topLinePunct w:val="0"/>
        <w:bidi w:val="0"/>
        <w:spacing w:line="300" w:lineRule="exact"/>
        <w:textAlignment w:val="auto"/>
        <w:rPr>
          <w:rFonts w:hint="eastAsia" w:ascii="宋体" w:hAnsi="宋体"/>
          <w:sz w:val="24"/>
          <w:szCs w:val="24"/>
        </w:rPr>
      </w:pPr>
      <w:bookmarkStart w:id="0" w:name="_Toc356504159"/>
      <w:r>
        <w:rPr>
          <w:rFonts w:hint="eastAsia" w:ascii="宋体" w:hAnsi="宋体"/>
          <w:sz w:val="24"/>
          <w:szCs w:val="24"/>
        </w:rPr>
        <w:t>附件1：资格审查</w:t>
      </w:r>
      <w:bookmarkEnd w:id="0"/>
      <w:r>
        <w:rPr>
          <w:rFonts w:hint="eastAsia" w:ascii="宋体" w:hAnsi="宋体"/>
          <w:sz w:val="24"/>
          <w:szCs w:val="24"/>
        </w:rPr>
        <w:t>条件</w:t>
      </w:r>
      <w:r>
        <w:rPr>
          <w:rFonts w:ascii="宋体" w:hAnsi="宋体"/>
          <w:sz w:val="24"/>
          <w:szCs w:val="24"/>
        </w:rPr>
        <w:tab/>
      </w:r>
    </w:p>
    <w:p>
      <w:pPr>
        <w:pStyle w:val="2"/>
        <w:pageBreakBefore w:val="0"/>
        <w:kinsoku/>
        <w:wordWrap w:val="0"/>
        <w:overflowPunct/>
        <w:topLinePunct w:val="0"/>
        <w:bidi w:val="0"/>
        <w:spacing w:line="300" w:lineRule="exact"/>
        <w:jc w:val="center"/>
        <w:textAlignment w:val="auto"/>
        <w:rPr>
          <w:rFonts w:hint="eastAsia" w:ascii="宋体" w:hAnsi="宋体"/>
          <w:sz w:val="24"/>
          <w:szCs w:val="24"/>
        </w:rPr>
      </w:pPr>
      <w:bookmarkStart w:id="1" w:name="_Toc377105625"/>
      <w:bookmarkStart w:id="2" w:name="_Toc343514741"/>
      <w:bookmarkStart w:id="3" w:name="_Toc343514334"/>
      <w:bookmarkStart w:id="4" w:name="_Toc385352033"/>
      <w:bookmarkStart w:id="5" w:name="_Toc343514639"/>
      <w:r>
        <w:rPr>
          <w:rFonts w:hint="eastAsia" w:ascii="宋体" w:hAnsi="宋体"/>
          <w:sz w:val="24"/>
          <w:szCs w:val="24"/>
        </w:rPr>
        <w:t>附录1  资格审查条件（资质最低条件）</w:t>
      </w:r>
      <w:bookmarkEnd w:id="1"/>
      <w:bookmarkEnd w:id="2"/>
      <w:bookmarkEnd w:id="3"/>
      <w:bookmarkEnd w:id="4"/>
      <w:bookmarkEnd w:id="5"/>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9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0" w:hRule="atLeast"/>
          <w:jc w:val="center"/>
        </w:trPr>
        <w:tc>
          <w:tcPr>
            <w:tcW w:w="8996" w:type="dxa"/>
            <w:noWrap w:val="0"/>
            <w:vAlign w:val="center"/>
          </w:tcPr>
          <w:p>
            <w:pPr>
              <w:pageBreakBefore w:val="0"/>
              <w:kinsoku/>
              <w:wordWrap w:val="0"/>
              <w:overflowPunct/>
              <w:topLinePunct w:val="0"/>
              <w:bidi w:val="0"/>
              <w:spacing w:line="300" w:lineRule="exact"/>
              <w:jc w:val="center"/>
              <w:textAlignment w:val="auto"/>
              <w:rPr>
                <w:rFonts w:hint="eastAsia" w:ascii="宋体" w:hAnsi="宋体"/>
                <w:szCs w:val="21"/>
              </w:rPr>
            </w:pPr>
            <w:r>
              <w:rPr>
                <w:rFonts w:hint="eastAsia" w:ascii="宋体" w:hAnsi="宋体"/>
                <w:b/>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2" w:hRule="atLeast"/>
          <w:jc w:val="center"/>
        </w:trPr>
        <w:tc>
          <w:tcPr>
            <w:tcW w:w="8996" w:type="dxa"/>
            <w:noWrap w:val="0"/>
            <w:vAlign w:val="center"/>
          </w:tcPr>
          <w:p>
            <w:pPr>
              <w:pageBreakBefore w:val="0"/>
              <w:kinsoku/>
              <w:wordWrap w:val="0"/>
              <w:overflowPunct/>
              <w:topLinePunct w:val="0"/>
              <w:bidi w:val="0"/>
              <w:spacing w:line="300" w:lineRule="exact"/>
              <w:textAlignment w:val="auto"/>
              <w:rPr>
                <w:rFonts w:hint="eastAsia" w:ascii="宋体" w:hAnsi="宋体"/>
                <w:szCs w:val="21"/>
              </w:rPr>
            </w:pPr>
            <w:r>
              <w:rPr>
                <w:rFonts w:hint="eastAsia" w:ascii="宋体" w:hAnsi="宋体"/>
                <w:szCs w:val="21"/>
              </w:rPr>
              <w:t>本招标项目要求投标人具有独立企业法人资格，持有工商行政管理部门核发的有效企业营业执照，具有交通运输部批准的公路工程监理甲级资质。</w:t>
            </w:r>
          </w:p>
        </w:tc>
      </w:tr>
    </w:tbl>
    <w:p>
      <w:pPr>
        <w:pStyle w:val="2"/>
        <w:pageBreakBefore w:val="0"/>
        <w:kinsoku/>
        <w:wordWrap w:val="0"/>
        <w:overflowPunct/>
        <w:topLinePunct w:val="0"/>
        <w:bidi w:val="0"/>
        <w:spacing w:line="300" w:lineRule="exact"/>
        <w:jc w:val="center"/>
        <w:textAlignment w:val="auto"/>
        <w:rPr>
          <w:rFonts w:hint="eastAsia" w:ascii="宋体" w:hAnsi="宋体"/>
          <w:sz w:val="24"/>
          <w:szCs w:val="24"/>
        </w:rPr>
      </w:pPr>
      <w:bookmarkStart w:id="6" w:name="_Toc377105627"/>
      <w:bookmarkStart w:id="7" w:name="_Toc343514743"/>
      <w:bookmarkStart w:id="8" w:name="_Toc343514641"/>
      <w:bookmarkStart w:id="9" w:name="_Toc385352035"/>
      <w:bookmarkStart w:id="10" w:name="_Toc343514336"/>
      <w:r>
        <w:rPr>
          <w:rFonts w:hint="eastAsia" w:ascii="宋体" w:hAnsi="宋体"/>
          <w:sz w:val="24"/>
          <w:szCs w:val="24"/>
        </w:rPr>
        <w:t>附录2  资格审查条件（业绩最低条件）</w:t>
      </w:r>
      <w:bookmarkEnd w:id="6"/>
      <w:bookmarkEnd w:id="7"/>
      <w:bookmarkEnd w:id="8"/>
      <w:bookmarkEnd w:id="9"/>
      <w:bookmarkEnd w:id="1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26" w:type="dxa"/>
            <w:noWrap w:val="0"/>
            <w:vAlign w:val="center"/>
          </w:tcPr>
          <w:p>
            <w:pPr>
              <w:pageBreakBefore w:val="0"/>
              <w:kinsoku/>
              <w:wordWrap w:val="0"/>
              <w:overflowPunct/>
              <w:topLinePunct w:val="0"/>
              <w:bidi w:val="0"/>
              <w:spacing w:line="300" w:lineRule="exact"/>
              <w:jc w:val="center"/>
              <w:textAlignment w:val="auto"/>
              <w:rPr>
                <w:rFonts w:hint="eastAsia" w:ascii="宋体" w:hAnsi="宋体"/>
                <w:szCs w:val="21"/>
              </w:rPr>
            </w:pPr>
            <w:r>
              <w:rPr>
                <w:rFonts w:hint="eastAsia" w:ascii="宋体" w:hAnsi="宋体" w:cs="宋体"/>
                <w:b/>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026" w:type="dxa"/>
            <w:noWrap w:val="0"/>
            <w:vAlign w:val="center"/>
          </w:tcPr>
          <w:p>
            <w:pPr>
              <w:pageBreakBefore w:val="0"/>
              <w:kinsoku/>
              <w:wordWrap w:val="0"/>
              <w:overflowPunct/>
              <w:topLinePunct w:val="0"/>
              <w:bidi w:val="0"/>
              <w:spacing w:line="300" w:lineRule="exact"/>
              <w:textAlignment w:val="auto"/>
              <w:rPr>
                <w:rFonts w:hint="eastAsia" w:ascii="宋体" w:hAnsi="宋体"/>
                <w:szCs w:val="21"/>
              </w:rPr>
            </w:pPr>
            <w:r>
              <w:rPr>
                <w:rFonts w:hint="eastAsia" w:ascii="宋体" w:hAnsi="宋体"/>
                <w:szCs w:val="21"/>
              </w:rPr>
              <w:t>近5年内（</w:t>
            </w:r>
            <w:r>
              <w:rPr>
                <w:rFonts w:hint="eastAsia" w:ascii="宋体" w:hAnsi="宋体"/>
                <w:szCs w:val="21"/>
                <w:lang w:eastAsia="zh-CN"/>
              </w:rPr>
              <w:t>2017年8月1日至开标日</w:t>
            </w:r>
            <w:r>
              <w:rPr>
                <w:rFonts w:hint="eastAsia" w:ascii="宋体" w:hAnsi="宋体"/>
                <w:szCs w:val="21"/>
              </w:rPr>
              <w:t>，以交工时间为准）独立的成功完成过</w:t>
            </w:r>
            <w:bookmarkStart w:id="21" w:name="_GoBack"/>
            <w:bookmarkEnd w:id="21"/>
            <w:r>
              <w:rPr>
                <w:rFonts w:hint="eastAsia" w:ascii="宋体" w:hAnsi="宋体"/>
                <w:szCs w:val="21"/>
              </w:rPr>
              <w:t xml:space="preserve"> 1 个单项合同金额不少于限价金额的高速公路工程施工监理业绩。</w:t>
            </w:r>
          </w:p>
        </w:tc>
      </w:tr>
    </w:tbl>
    <w:p>
      <w:pPr>
        <w:pStyle w:val="2"/>
        <w:pageBreakBefore w:val="0"/>
        <w:kinsoku/>
        <w:wordWrap w:val="0"/>
        <w:overflowPunct/>
        <w:topLinePunct w:val="0"/>
        <w:bidi w:val="0"/>
        <w:spacing w:line="300" w:lineRule="exact"/>
        <w:jc w:val="center"/>
        <w:textAlignment w:val="auto"/>
        <w:rPr>
          <w:rFonts w:hint="eastAsia" w:ascii="宋体" w:hAnsi="宋体"/>
        </w:rPr>
      </w:pPr>
      <w:bookmarkStart w:id="11" w:name="_Toc343514642"/>
      <w:bookmarkStart w:id="12" w:name="_Toc343514744"/>
      <w:bookmarkStart w:id="13" w:name="_Toc343514337"/>
      <w:bookmarkStart w:id="14" w:name="_Toc385352036"/>
      <w:bookmarkStart w:id="15" w:name="_Toc377105628"/>
      <w:r>
        <w:rPr>
          <w:rFonts w:hint="eastAsia" w:ascii="宋体" w:hAnsi="宋体"/>
          <w:sz w:val="24"/>
          <w:szCs w:val="24"/>
        </w:rPr>
        <w:t>附录3  资格审查条件（信誉最低条件）</w:t>
      </w:r>
      <w:bookmarkEnd w:id="11"/>
      <w:bookmarkEnd w:id="12"/>
      <w:bookmarkEnd w:id="13"/>
      <w:bookmarkEnd w:id="14"/>
      <w:bookmarkEnd w:id="15"/>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933" w:type="dxa"/>
            <w:noWrap w:val="0"/>
            <w:vAlign w:val="center"/>
          </w:tcPr>
          <w:p>
            <w:pPr>
              <w:pageBreakBefore w:val="0"/>
              <w:kinsoku/>
              <w:wordWrap w:val="0"/>
              <w:overflowPunct/>
              <w:topLinePunct w:val="0"/>
              <w:bidi w:val="0"/>
              <w:spacing w:line="300" w:lineRule="exact"/>
              <w:jc w:val="center"/>
              <w:textAlignment w:val="auto"/>
              <w:rPr>
                <w:rFonts w:hint="eastAsia"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33" w:type="dxa"/>
            <w:vMerge w:val="restart"/>
            <w:noWrap w:val="0"/>
            <w:vAlign w:val="center"/>
          </w:tcPr>
          <w:p>
            <w:pPr>
              <w:pageBreakBefore w:val="0"/>
              <w:kinsoku/>
              <w:wordWrap w:val="0"/>
              <w:overflowPunct/>
              <w:topLinePunct w:val="0"/>
              <w:bidi w:val="0"/>
              <w:adjustRightInd w:val="0"/>
              <w:snapToGrid w:val="0"/>
              <w:spacing w:line="300" w:lineRule="exact"/>
              <w:jc w:val="left"/>
              <w:textAlignment w:val="auto"/>
              <w:rPr>
                <w:rFonts w:hint="eastAsia" w:ascii="宋体" w:hAnsi="宋体"/>
                <w:color w:val="000000"/>
                <w:szCs w:val="21"/>
              </w:rPr>
            </w:pPr>
            <w:r>
              <w:rPr>
                <w:rFonts w:hint="eastAsia" w:ascii="宋体" w:hAnsi="宋体"/>
                <w:color w:val="000000"/>
                <w:szCs w:val="21"/>
              </w:rPr>
              <w:t>投标人过去1年（</w:t>
            </w:r>
            <w:r>
              <w:rPr>
                <w:rFonts w:hint="eastAsia" w:ascii="宋体" w:hAnsi="宋体"/>
                <w:color w:val="000000"/>
                <w:szCs w:val="21"/>
                <w:lang w:eastAsia="zh-CN"/>
              </w:rPr>
              <w:t>2021年8月1日至开标日</w:t>
            </w:r>
            <w:r>
              <w:rPr>
                <w:rFonts w:hint="eastAsia" w:ascii="宋体" w:hAnsi="宋体"/>
                <w:color w:val="000000"/>
                <w:szCs w:val="21"/>
              </w:rPr>
              <w:t>）不曾在公路工程施工监理合同中违约而被驱逐或因申请人自身的原因而使合同被解除。</w:t>
            </w:r>
          </w:p>
          <w:p>
            <w:pPr>
              <w:pageBreakBefore w:val="0"/>
              <w:kinsoku/>
              <w:wordWrap w:val="0"/>
              <w:overflowPunct/>
              <w:topLinePunct w:val="0"/>
              <w:bidi w:val="0"/>
              <w:adjustRightInd w:val="0"/>
              <w:snapToGrid w:val="0"/>
              <w:spacing w:line="300" w:lineRule="exact"/>
              <w:jc w:val="left"/>
              <w:textAlignment w:val="auto"/>
              <w:rPr>
                <w:rFonts w:hint="eastAsia" w:ascii="宋体" w:hAnsi="宋体"/>
                <w:color w:val="000000"/>
                <w:szCs w:val="21"/>
              </w:rPr>
            </w:pPr>
            <w:r>
              <w:rPr>
                <w:rFonts w:hint="eastAsia" w:ascii="宋体" w:hAnsi="宋体"/>
                <w:color w:val="000000"/>
                <w:szCs w:val="21"/>
              </w:rPr>
              <w:t>投标人在“信用中国”网站(http://www.creditchina.gov.cn/)中被列入失信被执行人名单、企业经营异常名录、重大税收违法案件当事人名单、政府采购严重违法失信名单（均不含分公司）及国家企业信用信息公示系统（http：//www.gsxt.gov.cn/）中被列入严重违法失信企业名单（不含分公司）的，不得参加投标。</w:t>
            </w:r>
          </w:p>
          <w:p>
            <w:pPr>
              <w:pageBreakBefore w:val="0"/>
              <w:kinsoku/>
              <w:wordWrap w:val="0"/>
              <w:overflowPunct/>
              <w:topLinePunct w:val="0"/>
              <w:bidi w:val="0"/>
              <w:adjustRightInd w:val="0"/>
              <w:snapToGrid w:val="0"/>
              <w:spacing w:line="300" w:lineRule="exact"/>
              <w:jc w:val="left"/>
              <w:textAlignment w:val="auto"/>
              <w:rPr>
                <w:rFonts w:hint="eastAsia" w:ascii="宋体" w:hAnsi="宋体"/>
                <w:color w:val="000000"/>
                <w:szCs w:val="21"/>
              </w:rPr>
            </w:pPr>
            <w:r>
              <w:rPr>
                <w:rFonts w:hint="eastAsia" w:ascii="宋体" w:hAnsi="宋体"/>
                <w:color w:val="000000"/>
                <w:szCs w:val="21"/>
              </w:rPr>
              <w:t>5.近三年（</w:t>
            </w:r>
            <w:r>
              <w:rPr>
                <w:rFonts w:hint="eastAsia" w:ascii="宋体" w:hAnsi="宋体"/>
                <w:color w:val="000000"/>
                <w:szCs w:val="21"/>
                <w:lang w:eastAsia="zh-CN"/>
              </w:rPr>
              <w:t>2019年8月1日至开标日</w:t>
            </w:r>
            <w:r>
              <w:rPr>
                <w:rFonts w:hint="eastAsia" w:ascii="宋体" w:hAnsi="宋体"/>
                <w:color w:val="000000"/>
                <w:szCs w:val="21"/>
              </w:rPr>
              <w:t>）投标人及其法定代表人、拟委任的总监理工程师或驻地监理工程师被列入“中国裁判文书网”行贿犯罪记录的投标人，不得参加投标。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933" w:type="dxa"/>
            <w:vMerge w:val="continue"/>
            <w:noWrap w:val="0"/>
            <w:vAlign w:val="center"/>
          </w:tcPr>
          <w:p>
            <w:pPr>
              <w:pageBreakBefore w:val="0"/>
              <w:kinsoku/>
              <w:wordWrap w:val="0"/>
              <w:overflowPunct/>
              <w:topLinePunct w:val="0"/>
              <w:bidi w:val="0"/>
              <w:spacing w:line="300" w:lineRule="exact"/>
              <w:textAlignment w:val="auto"/>
              <w:rPr>
                <w:rFonts w:ascii="宋体" w:hAnsi="宋体"/>
              </w:rPr>
            </w:pPr>
          </w:p>
        </w:tc>
      </w:tr>
    </w:tbl>
    <w:p>
      <w:pPr>
        <w:pStyle w:val="2"/>
        <w:pageBreakBefore w:val="0"/>
        <w:kinsoku/>
        <w:wordWrap w:val="0"/>
        <w:overflowPunct/>
        <w:topLinePunct w:val="0"/>
        <w:bidi w:val="0"/>
        <w:spacing w:line="300" w:lineRule="exact"/>
        <w:jc w:val="center"/>
        <w:textAlignment w:val="auto"/>
        <w:rPr>
          <w:rFonts w:hint="eastAsia" w:ascii="宋体" w:hAnsi="宋体"/>
        </w:rPr>
      </w:pPr>
      <w:bookmarkStart w:id="16" w:name="_Toc385352037"/>
      <w:bookmarkStart w:id="17" w:name="_Toc343514745"/>
      <w:bookmarkStart w:id="18" w:name="_Toc377105629"/>
      <w:bookmarkStart w:id="19" w:name="_Toc343514643"/>
      <w:bookmarkStart w:id="20" w:name="_Toc343514338"/>
      <w:r>
        <w:rPr>
          <w:rFonts w:hint="eastAsia" w:ascii="宋体" w:hAnsi="宋体"/>
          <w:sz w:val="24"/>
          <w:szCs w:val="24"/>
        </w:rPr>
        <w:t>附录4资格审查条件（主要人员最低条件）</w:t>
      </w:r>
      <w:bookmarkEnd w:id="16"/>
      <w:bookmarkEnd w:id="17"/>
      <w:bookmarkEnd w:id="18"/>
      <w:bookmarkEnd w:id="19"/>
      <w:bookmarkEnd w:id="20"/>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3"/>
        <w:gridCol w:w="721"/>
        <w:gridCol w:w="4716"/>
        <w:gridCol w:w="2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blHeader/>
          <w:jc w:val="center"/>
        </w:trPr>
        <w:tc>
          <w:tcPr>
            <w:tcW w:w="2003" w:type="dxa"/>
            <w:noWrap w:val="0"/>
            <w:vAlign w:val="center"/>
          </w:tcPr>
          <w:p>
            <w:pPr>
              <w:pStyle w:val="3"/>
              <w:pageBreakBefore w:val="0"/>
              <w:kinsoku/>
              <w:wordWrap w:val="0"/>
              <w:overflowPunct/>
              <w:topLinePunct w:val="0"/>
              <w:bidi w:val="0"/>
              <w:spacing w:before="0" w:beforeLines="0" w:beforeAutospacing="0" w:after="0" w:afterLines="0" w:afterAutospacing="0" w:line="300" w:lineRule="exact"/>
              <w:contextualSpacing/>
              <w:jc w:val="center"/>
              <w:textAlignment w:val="auto"/>
              <w:rPr>
                <w:color w:val="auto"/>
                <w:sz w:val="21"/>
                <w:szCs w:val="21"/>
              </w:rPr>
            </w:pPr>
            <w:r>
              <w:rPr>
                <w:rFonts w:hint="eastAsia"/>
                <w:color w:val="auto"/>
                <w:sz w:val="21"/>
                <w:szCs w:val="21"/>
              </w:rPr>
              <w:t>人员</w:t>
            </w:r>
          </w:p>
        </w:tc>
        <w:tc>
          <w:tcPr>
            <w:tcW w:w="721" w:type="dxa"/>
            <w:noWrap w:val="0"/>
            <w:vAlign w:val="center"/>
          </w:tcPr>
          <w:p>
            <w:pPr>
              <w:pStyle w:val="3"/>
              <w:pageBreakBefore w:val="0"/>
              <w:kinsoku/>
              <w:wordWrap w:val="0"/>
              <w:overflowPunct/>
              <w:topLinePunct w:val="0"/>
              <w:bidi w:val="0"/>
              <w:spacing w:before="0" w:beforeLines="0" w:beforeAutospacing="0" w:after="0" w:afterLines="0" w:afterAutospacing="0" w:line="300" w:lineRule="exact"/>
              <w:contextualSpacing/>
              <w:jc w:val="center"/>
              <w:textAlignment w:val="auto"/>
              <w:rPr>
                <w:rFonts w:hint="eastAsia"/>
                <w:color w:val="auto"/>
                <w:sz w:val="21"/>
                <w:szCs w:val="21"/>
              </w:rPr>
            </w:pPr>
            <w:r>
              <w:rPr>
                <w:rFonts w:hint="eastAsia"/>
                <w:color w:val="auto"/>
                <w:sz w:val="21"/>
                <w:szCs w:val="21"/>
              </w:rPr>
              <w:t>数量</w:t>
            </w:r>
          </w:p>
        </w:tc>
        <w:tc>
          <w:tcPr>
            <w:tcW w:w="4716" w:type="dxa"/>
            <w:noWrap w:val="0"/>
            <w:vAlign w:val="center"/>
          </w:tcPr>
          <w:p>
            <w:pPr>
              <w:pStyle w:val="3"/>
              <w:pageBreakBefore w:val="0"/>
              <w:kinsoku/>
              <w:wordWrap w:val="0"/>
              <w:overflowPunct/>
              <w:topLinePunct w:val="0"/>
              <w:bidi w:val="0"/>
              <w:spacing w:before="0" w:beforeLines="0" w:beforeAutospacing="0" w:after="0" w:afterLines="0" w:afterAutospacing="0" w:line="300" w:lineRule="exact"/>
              <w:contextualSpacing/>
              <w:jc w:val="center"/>
              <w:textAlignment w:val="auto"/>
              <w:rPr>
                <w:color w:val="auto"/>
                <w:sz w:val="21"/>
                <w:szCs w:val="21"/>
              </w:rPr>
            </w:pPr>
            <w:r>
              <w:rPr>
                <w:rFonts w:hint="eastAsia"/>
                <w:color w:val="auto"/>
                <w:sz w:val="21"/>
                <w:szCs w:val="21"/>
              </w:rPr>
              <w:t>资格要求</w:t>
            </w:r>
          </w:p>
        </w:tc>
        <w:tc>
          <w:tcPr>
            <w:tcW w:w="2045" w:type="dxa"/>
            <w:noWrap w:val="0"/>
            <w:vAlign w:val="center"/>
          </w:tcPr>
          <w:p>
            <w:pPr>
              <w:pStyle w:val="3"/>
              <w:pageBreakBefore w:val="0"/>
              <w:kinsoku/>
              <w:wordWrap w:val="0"/>
              <w:overflowPunct/>
              <w:topLinePunct w:val="0"/>
              <w:bidi w:val="0"/>
              <w:spacing w:before="0" w:beforeLines="0" w:beforeAutospacing="0" w:after="0" w:afterLines="0" w:afterAutospacing="0" w:line="300" w:lineRule="exact"/>
              <w:contextualSpacing/>
              <w:jc w:val="center"/>
              <w:textAlignment w:val="auto"/>
              <w:rPr>
                <w:rFonts w:hint="eastAsia"/>
                <w:color w:val="auto"/>
                <w:sz w:val="21"/>
                <w:szCs w:val="21"/>
              </w:rPr>
            </w:pPr>
            <w:r>
              <w:rPr>
                <w:rFonts w:hint="eastAsia"/>
                <w:color w:val="auto"/>
                <w:sz w:val="21"/>
                <w:szCs w:val="21"/>
                <w:lang w:val="en-US" w:eastAsia="zh-CN"/>
              </w:rPr>
              <w:t>在岗要求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jc w:val="center"/>
        </w:trPr>
        <w:tc>
          <w:tcPr>
            <w:tcW w:w="2003" w:type="dxa"/>
            <w:noWrap w:val="0"/>
            <w:vAlign w:val="center"/>
          </w:tcPr>
          <w:p>
            <w:pPr>
              <w:pageBreakBefore w:val="0"/>
              <w:kinsoku/>
              <w:wordWrap w:val="0"/>
              <w:overflowPunct/>
              <w:topLinePunct w:val="0"/>
              <w:bidi w:val="0"/>
              <w:spacing w:line="300" w:lineRule="exact"/>
              <w:jc w:val="center"/>
              <w:textAlignment w:val="auto"/>
              <w:rPr>
                <w:rFonts w:hint="eastAsia" w:ascii="宋体" w:hAnsi="宋体"/>
                <w:szCs w:val="21"/>
              </w:rPr>
            </w:pPr>
            <w:r>
              <w:rPr>
                <w:rFonts w:hint="eastAsia" w:ascii="宋体" w:hAnsi="宋体"/>
                <w:szCs w:val="21"/>
              </w:rPr>
              <w:t>总监理工程师</w:t>
            </w:r>
          </w:p>
        </w:tc>
        <w:tc>
          <w:tcPr>
            <w:tcW w:w="721" w:type="dxa"/>
            <w:noWrap w:val="0"/>
            <w:vAlign w:val="center"/>
          </w:tcPr>
          <w:p>
            <w:pPr>
              <w:pageBreakBefore w:val="0"/>
              <w:kinsoku/>
              <w:wordWrap w:val="0"/>
              <w:overflowPunct/>
              <w:topLinePunct w:val="0"/>
              <w:bidi w:val="0"/>
              <w:spacing w:line="300" w:lineRule="exact"/>
              <w:jc w:val="center"/>
              <w:textAlignment w:val="auto"/>
              <w:rPr>
                <w:rFonts w:hint="eastAsia" w:ascii="宋体" w:hAnsi="宋体"/>
                <w:szCs w:val="21"/>
              </w:rPr>
            </w:pPr>
            <w:r>
              <w:rPr>
                <w:rFonts w:hint="eastAsia" w:ascii="宋体" w:hAnsi="宋体"/>
                <w:szCs w:val="21"/>
              </w:rPr>
              <w:t>1</w:t>
            </w:r>
          </w:p>
        </w:tc>
        <w:tc>
          <w:tcPr>
            <w:tcW w:w="4716" w:type="dxa"/>
            <w:noWrap w:val="0"/>
            <w:vAlign w:val="center"/>
          </w:tcPr>
          <w:p>
            <w:pPr>
              <w:pStyle w:val="3"/>
              <w:pageBreakBefore w:val="0"/>
              <w:kinsoku/>
              <w:wordWrap w:val="0"/>
              <w:overflowPunct/>
              <w:topLinePunct w:val="0"/>
              <w:bidi w:val="0"/>
              <w:spacing w:before="0" w:beforeLines="0" w:beforeAutospacing="0" w:after="0" w:afterLines="0" w:afterAutospacing="0" w:line="300" w:lineRule="exact"/>
              <w:contextualSpacing/>
              <w:textAlignment w:val="auto"/>
              <w:rPr>
                <w:rFonts w:hint="eastAsia"/>
                <w:color w:val="auto"/>
                <w:sz w:val="21"/>
                <w:szCs w:val="21"/>
              </w:rPr>
            </w:pPr>
            <w:r>
              <w:rPr>
                <w:rFonts w:hint="eastAsia"/>
                <w:color w:val="auto"/>
                <w:sz w:val="21"/>
                <w:szCs w:val="21"/>
                <w:lang w:val="en-US" w:eastAsia="zh-CN"/>
              </w:rPr>
              <w:t xml:space="preserve">高级工程师，具有注册监理工程师执业资格证书（交通运输工程）或交通运输部颁发的监理工程师资格证书（公路与桥梁或道路与桥梁），注册单位或岗位登记单位与投标人一致；近5年内（2017年8月1日至开标日，以交工时间为准）独立的成功完成过 一条高速公路工程施工监理业绩的总监理工程师（或驻地监理工程师）。 </w:t>
            </w:r>
          </w:p>
        </w:tc>
        <w:tc>
          <w:tcPr>
            <w:tcW w:w="2045" w:type="dxa"/>
            <w:noWrap w:val="0"/>
            <w:vAlign w:val="center"/>
          </w:tcPr>
          <w:p>
            <w:pPr>
              <w:pStyle w:val="3"/>
              <w:pageBreakBefore w:val="0"/>
              <w:kinsoku/>
              <w:wordWrap w:val="0"/>
              <w:overflowPunct/>
              <w:topLinePunct w:val="0"/>
              <w:bidi w:val="0"/>
              <w:spacing w:before="0" w:beforeLines="0" w:beforeAutospacing="0" w:after="0" w:afterLines="0" w:afterAutospacing="0" w:line="300" w:lineRule="exact"/>
              <w:contextualSpacing/>
              <w:textAlignment w:val="auto"/>
              <w:rPr>
                <w:rFonts w:hint="eastAsia"/>
                <w:color w:val="auto"/>
                <w:sz w:val="21"/>
                <w:szCs w:val="21"/>
              </w:rPr>
            </w:pPr>
            <w:r>
              <w:rPr>
                <w:rFonts w:hint="eastAsia"/>
                <w:color w:val="auto"/>
                <w:sz w:val="21"/>
                <w:szCs w:val="21"/>
                <w:lang w:val="en-US" w:eastAsia="zh-CN"/>
              </w:rPr>
              <w:t>未在其他项目上任职，或虽在其他项目上任职但本项目中标后能够从该项目撤离</w:t>
            </w:r>
          </w:p>
          <w:p>
            <w:pPr>
              <w:pStyle w:val="3"/>
              <w:pageBreakBefore w:val="0"/>
              <w:kinsoku/>
              <w:wordWrap w:val="0"/>
              <w:overflowPunct/>
              <w:topLinePunct w:val="0"/>
              <w:bidi w:val="0"/>
              <w:spacing w:before="0" w:beforeLines="0" w:beforeAutospacing="0" w:after="0" w:afterLines="0" w:afterAutospacing="0" w:line="300" w:lineRule="exact"/>
              <w:contextualSpacing/>
              <w:textAlignment w:val="auto"/>
              <w:rPr>
                <w:rFonts w:hint="eastAsia"/>
                <w:color w:val="auto"/>
                <w:sz w:val="21"/>
                <w:szCs w:val="21"/>
              </w:rPr>
            </w:pPr>
          </w:p>
        </w:tc>
      </w:tr>
    </w:tbl>
    <w:p>
      <w:pPr>
        <w:pageBreakBefore w:val="0"/>
        <w:kinsoku/>
        <w:wordWrap w:val="0"/>
        <w:overflowPunct/>
        <w:topLinePunct w:val="0"/>
        <w:bidi w:val="0"/>
        <w:spacing w:line="300" w:lineRule="exact"/>
        <w:textAlignment w:val="auto"/>
        <w:rPr>
          <w:rFonts w:hint="eastAsia" w:ascii="宋体" w:hAnsi="宋体"/>
          <w:b/>
          <w:kern w:val="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79F04864"/>
    <w:rsid w:val="1610623E"/>
    <w:rsid w:val="21D92879"/>
    <w:rsid w:val="2AD25AA6"/>
    <w:rsid w:val="37A93DF7"/>
    <w:rsid w:val="4FDC0D8E"/>
    <w:rsid w:val="5F6D2A6C"/>
    <w:rsid w:val="658400CE"/>
    <w:rsid w:val="70EE795A"/>
    <w:rsid w:val="79F0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Arial"/>
      <w:color w:val="0000FF"/>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1000</Words>
  <Characters>1072</Characters>
  <Lines>0</Lines>
  <Paragraphs>0</Paragraphs>
  <TotalTime>1</TotalTime>
  <ScaleCrop>false</ScaleCrop>
  <LinksUpToDate>false</LinksUpToDate>
  <CharactersWithSpaces>1162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2022-08-25T09:09:00Z</dcterms:created>
  <dc:creator>冉</dc:creator>
  <cp:lastModifiedBy>冉</cp:lastModifiedBy>
  <dcterms:modified xsi:type="dcterms:W3CDTF">2022-08-25T09:13:17Z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2BB5FD46EA634C128BD33DCF4EFB2A22</vt:lpwstr>
  </property>
</Properties>
</file>