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宋体" w:hAnsi="宋体"/>
          <w:b/>
          <w:bCs/>
          <w:sz w:val="44"/>
          <w:szCs w:val="44"/>
        </w:rPr>
      </w:pPr>
      <w:r>
        <w:rPr>
          <w:rFonts w:hint="eastAsia" w:ascii="宋体" w:hAnsi="宋体"/>
          <w:b/>
          <w:sz w:val="24"/>
        </w:rPr>
        <w:t>附件2：</w:t>
      </w:r>
      <w:bookmarkStart w:id="1" w:name="_GoBack"/>
      <w:r>
        <w:rPr>
          <w:rFonts w:hint="eastAsia" w:ascii="宋体" w:hAnsi="宋体"/>
          <w:b/>
          <w:sz w:val="24"/>
        </w:rPr>
        <w:t>评标办法</w:t>
      </w:r>
      <w:bookmarkEnd w:id="1"/>
    </w:p>
    <w:p>
      <w:pPr>
        <w:pStyle w:val="2"/>
        <w:spacing w:after="312" w:line="360" w:lineRule="auto"/>
        <w:rPr>
          <w:rFonts w:ascii="宋体" w:hAnsi="宋体"/>
          <w:b/>
          <w:sz w:val="24"/>
        </w:rPr>
      </w:pPr>
      <w:bookmarkStart w:id="0" w:name="_Hlk88057076"/>
      <w:r>
        <w:rPr>
          <w:rFonts w:ascii="宋体" w:hAnsi="宋体"/>
          <w:b/>
          <w:sz w:val="24"/>
        </w:rPr>
        <w:t>评标办法前附表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321"/>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57" w:type="pct"/>
            <w:vAlign w:val="center"/>
          </w:tcPr>
          <w:p>
            <w:pPr>
              <w:jc w:val="center"/>
              <w:rPr>
                <w:rFonts w:ascii="宋体" w:hAnsi="宋体" w:cs="宋体"/>
                <w:b/>
                <w:szCs w:val="21"/>
              </w:rPr>
            </w:pPr>
            <w:r>
              <w:rPr>
                <w:rFonts w:hint="eastAsia" w:ascii="宋体" w:hAnsi="宋体" w:cs="宋体"/>
                <w:b/>
                <w:szCs w:val="21"/>
              </w:rPr>
              <w:t>条款号</w:t>
            </w:r>
          </w:p>
        </w:tc>
        <w:tc>
          <w:tcPr>
            <w:tcW w:w="663" w:type="pct"/>
            <w:vAlign w:val="center"/>
          </w:tcPr>
          <w:p>
            <w:pPr>
              <w:jc w:val="center"/>
              <w:rPr>
                <w:rFonts w:ascii="宋体" w:hAnsi="宋体" w:cs="宋体"/>
                <w:b/>
                <w:szCs w:val="21"/>
              </w:rPr>
            </w:pPr>
            <w:r>
              <w:rPr>
                <w:rFonts w:hint="eastAsia" w:ascii="宋体" w:hAnsi="宋体" w:cs="宋体"/>
                <w:b/>
                <w:szCs w:val="21"/>
              </w:rPr>
              <w:t>条款名称</w:t>
            </w:r>
          </w:p>
        </w:tc>
        <w:tc>
          <w:tcPr>
            <w:tcW w:w="3780" w:type="pct"/>
            <w:vAlign w:val="center"/>
          </w:tcPr>
          <w:p>
            <w:pPr>
              <w:jc w:val="center"/>
              <w:rPr>
                <w:rFonts w:ascii="宋体" w:hAnsi="宋体" w:cs="宋体"/>
                <w:b/>
                <w:szCs w:val="21"/>
              </w:rPr>
            </w:pPr>
            <w:r>
              <w:rPr>
                <w:rFonts w:hint="eastAsia" w:ascii="宋体" w:hAnsi="宋体" w:cs="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pct"/>
            <w:vAlign w:val="center"/>
          </w:tcPr>
          <w:p>
            <w:pPr>
              <w:jc w:val="center"/>
              <w:rPr>
                <w:rFonts w:ascii="宋体" w:hAnsi="宋体" w:cs="宋体"/>
                <w:szCs w:val="21"/>
              </w:rPr>
            </w:pPr>
            <w:r>
              <w:rPr>
                <w:rFonts w:hint="eastAsia" w:ascii="宋体" w:hAnsi="宋体" w:cs="宋体"/>
                <w:szCs w:val="21"/>
              </w:rPr>
              <w:t>1</w:t>
            </w:r>
          </w:p>
        </w:tc>
        <w:tc>
          <w:tcPr>
            <w:tcW w:w="663" w:type="pct"/>
            <w:vAlign w:val="center"/>
          </w:tcPr>
          <w:p>
            <w:pPr>
              <w:jc w:val="center"/>
              <w:rPr>
                <w:rFonts w:ascii="宋体" w:hAnsi="宋体" w:cs="宋体"/>
                <w:szCs w:val="21"/>
              </w:rPr>
            </w:pPr>
            <w:r>
              <w:rPr>
                <w:rFonts w:hint="eastAsia" w:ascii="宋体" w:hAnsi="宋体" w:cs="宋体"/>
                <w:szCs w:val="21"/>
              </w:rPr>
              <w:t>评标办法</w:t>
            </w:r>
          </w:p>
        </w:tc>
        <w:tc>
          <w:tcPr>
            <w:tcW w:w="3780" w:type="pct"/>
            <w:vAlign w:val="center"/>
          </w:tcPr>
          <w:p>
            <w:pPr>
              <w:ind w:firstLine="420" w:firstLineChars="200"/>
              <w:rPr>
                <w:rFonts w:ascii="宋体" w:hAnsi="宋体"/>
                <w:szCs w:val="21"/>
              </w:rPr>
            </w:pPr>
            <w:r>
              <w:rPr>
                <w:rFonts w:hint="eastAsia" w:ascii="宋体" w:hAnsi="宋体"/>
              </w:rPr>
              <w:t>本次评标采用综合评分法。评标委员会对满足招标文件实质性要求的投标文件，按照本章第 2.2 款规定的评分标准进行打分，并按综合得分由高到低顺序推荐1-3名中标候选人。</w:t>
            </w:r>
            <w:r>
              <w:rPr>
                <w:rFonts w:hint="eastAsia" w:ascii="宋体" w:hAnsi="宋体"/>
                <w:szCs w:val="21"/>
              </w:rPr>
              <w:t>综合评分相等时，评标委员会依次按照以下优先顺序推荐中标候选人：</w:t>
            </w:r>
          </w:p>
          <w:p>
            <w:pPr>
              <w:rPr>
                <w:rFonts w:ascii="宋体" w:hAnsi="宋体"/>
                <w:szCs w:val="21"/>
              </w:rPr>
            </w:pPr>
            <w:r>
              <w:rPr>
                <w:rFonts w:hint="eastAsia" w:ascii="宋体" w:hAnsi="宋体"/>
                <w:szCs w:val="21"/>
              </w:rPr>
              <w:t>（1）评标价低的投标人优先；</w:t>
            </w:r>
          </w:p>
          <w:p>
            <w:pPr>
              <w:rPr>
                <w:rFonts w:ascii="宋体" w:hAnsi="宋体"/>
                <w:szCs w:val="21"/>
              </w:rPr>
            </w:pPr>
            <w:r>
              <w:rPr>
                <w:rFonts w:hint="eastAsia" w:ascii="宋体" w:hAnsi="宋体"/>
                <w:szCs w:val="21"/>
              </w:rPr>
              <w:t>（2）承包人实施计划累计得分较高的投标人优先；</w:t>
            </w:r>
          </w:p>
          <w:p>
            <w:pPr>
              <w:rPr>
                <w:rFonts w:ascii="宋体" w:hAnsi="宋体"/>
              </w:rPr>
            </w:pPr>
            <w:r>
              <w:rPr>
                <w:rFonts w:hint="eastAsia" w:ascii="宋体" w:hAnsi="宋体"/>
                <w:szCs w:val="21"/>
              </w:rPr>
              <w:t>（3）满足资格审查条件(业绩最低要求)要求的设计业绩累计合同额高的优先。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4" w:hRule="atLeast"/>
          <w:jc w:val="center"/>
        </w:trPr>
        <w:tc>
          <w:tcPr>
            <w:tcW w:w="557" w:type="pct"/>
            <w:vAlign w:val="center"/>
          </w:tcPr>
          <w:p>
            <w:pPr>
              <w:jc w:val="center"/>
              <w:rPr>
                <w:rFonts w:ascii="宋体" w:hAnsi="宋体" w:cs="宋体"/>
                <w:szCs w:val="21"/>
              </w:rPr>
            </w:pPr>
            <w:r>
              <w:rPr>
                <w:rFonts w:ascii="宋体" w:hAnsi="宋体" w:cs="宋体"/>
                <w:szCs w:val="21"/>
              </w:rPr>
              <w:t>2.1.1</w:t>
            </w:r>
          </w:p>
          <w:p>
            <w:pPr>
              <w:jc w:val="center"/>
              <w:rPr>
                <w:rFonts w:ascii="宋体" w:hAnsi="宋体" w:cs="宋体"/>
                <w:szCs w:val="21"/>
              </w:rPr>
            </w:pPr>
            <w:r>
              <w:rPr>
                <w:rFonts w:ascii="宋体" w:hAnsi="宋体" w:cs="宋体"/>
                <w:szCs w:val="21"/>
              </w:rPr>
              <w:t>2.1.3</w:t>
            </w:r>
          </w:p>
        </w:tc>
        <w:tc>
          <w:tcPr>
            <w:tcW w:w="663" w:type="pct"/>
            <w:vAlign w:val="center"/>
          </w:tcPr>
          <w:p>
            <w:pPr>
              <w:jc w:val="center"/>
              <w:rPr>
                <w:rFonts w:ascii="宋体" w:hAnsi="宋体" w:cs="宋体"/>
                <w:color w:val="FF0000"/>
                <w:szCs w:val="21"/>
              </w:rPr>
            </w:pPr>
            <w:r>
              <w:rPr>
                <w:rFonts w:hint="eastAsia" w:ascii="宋体" w:hAnsi="宋体" w:cs="宋体"/>
                <w:szCs w:val="21"/>
              </w:rPr>
              <w:t>形式评审与响应性评审标准</w:t>
            </w:r>
          </w:p>
        </w:tc>
        <w:tc>
          <w:tcPr>
            <w:tcW w:w="3780" w:type="pct"/>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spacing w:line="286" w:lineRule="exact"/>
              <w:ind w:firstLine="386" w:firstLineChars="184"/>
              <w:jc w:val="left"/>
              <w:rPr>
                <w:rFonts w:ascii="宋体" w:hAnsi="宋体" w:cs="宋体"/>
                <w:szCs w:val="21"/>
              </w:rPr>
            </w:pPr>
            <w:r>
              <w:rPr>
                <w:rFonts w:hint="eastAsia" w:ascii="宋体" w:hAnsi="宋体" w:cs="宋体"/>
                <w:szCs w:val="21"/>
              </w:rPr>
              <w:t>（1）投标文件按照招标文件规定的格式、内容填写，字迹清晰可辨：</w:t>
            </w:r>
          </w:p>
          <w:p>
            <w:pPr>
              <w:spacing w:line="286" w:lineRule="exact"/>
              <w:ind w:firstLine="386" w:firstLineChars="184"/>
              <w:jc w:val="left"/>
              <w:rPr>
                <w:rFonts w:ascii="宋体" w:hAnsi="宋体" w:cs="宋体"/>
                <w:szCs w:val="21"/>
              </w:rPr>
            </w:pPr>
            <w:r>
              <w:rPr>
                <w:rFonts w:hint="eastAsia" w:ascii="宋体" w:hAnsi="宋体" w:cs="宋体"/>
                <w:szCs w:val="21"/>
              </w:rPr>
              <w:t>a.投标函按招标文件规定填报了项目名称、补遗书编号（如有）、工程质量、安全目标、养护周期、项目负责人、施工负责人、检测负责人；</w:t>
            </w:r>
          </w:p>
          <w:p>
            <w:pPr>
              <w:spacing w:line="286" w:lineRule="exact"/>
              <w:ind w:firstLine="386" w:firstLineChars="184"/>
              <w:jc w:val="left"/>
              <w:rPr>
                <w:rFonts w:ascii="宋体" w:hAnsi="宋体" w:cs="宋体"/>
                <w:szCs w:val="21"/>
              </w:rPr>
            </w:pPr>
            <w:r>
              <w:rPr>
                <w:rFonts w:hint="eastAsia" w:ascii="宋体" w:hAnsi="宋体" w:cs="宋体"/>
                <w:szCs w:val="21"/>
              </w:rPr>
              <w:t>b.投标函附录的所有数据均符合招标文件规定；</w:t>
            </w:r>
          </w:p>
          <w:p>
            <w:pPr>
              <w:spacing w:line="286" w:lineRule="exact"/>
              <w:ind w:firstLine="386" w:firstLineChars="184"/>
              <w:jc w:val="left"/>
              <w:rPr>
                <w:rFonts w:ascii="宋体" w:hAnsi="宋体" w:cs="宋体"/>
                <w:szCs w:val="21"/>
              </w:rPr>
            </w:pPr>
            <w:r>
              <w:rPr>
                <w:rFonts w:hint="eastAsia" w:ascii="宋体" w:hAnsi="宋体" w:cs="宋体"/>
                <w:szCs w:val="21"/>
              </w:rPr>
              <w:t>c.投标文件组成齐全完整，内容均按规定填写。</w:t>
            </w:r>
          </w:p>
          <w:p>
            <w:pPr>
              <w:spacing w:line="286" w:lineRule="exact"/>
              <w:ind w:firstLine="386" w:firstLineChars="184"/>
              <w:jc w:val="left"/>
              <w:rPr>
                <w:rFonts w:ascii="宋体" w:hAnsi="宋体" w:cs="宋体"/>
                <w:szCs w:val="21"/>
              </w:rPr>
            </w:pPr>
            <w:r>
              <w:rPr>
                <w:rFonts w:hint="eastAsia" w:ascii="宋体" w:hAnsi="宋体" w:cs="宋体"/>
                <w:szCs w:val="21"/>
              </w:rPr>
              <w:t>（2）投标文件上法定代表人或其授权代理人的签字、投标人的单位章盖章齐全，符合招标文件规定。</w:t>
            </w:r>
          </w:p>
          <w:p>
            <w:pPr>
              <w:spacing w:line="286" w:lineRule="exact"/>
              <w:ind w:firstLine="386" w:firstLineChars="184"/>
              <w:jc w:val="left"/>
              <w:rPr>
                <w:rFonts w:ascii="宋体" w:hAnsi="宋体" w:cs="宋体"/>
                <w:szCs w:val="21"/>
              </w:rPr>
            </w:pPr>
            <w:r>
              <w:rPr>
                <w:rFonts w:hint="eastAsia" w:ascii="宋体" w:hAnsi="宋体" w:cs="宋体"/>
                <w:szCs w:val="21"/>
              </w:rPr>
              <w:t>（3）投标人按照招标文件规定的金额、形式、时效和内容提供了投标保证金：</w:t>
            </w:r>
          </w:p>
          <w:p>
            <w:pPr>
              <w:spacing w:line="286" w:lineRule="exact"/>
              <w:ind w:firstLine="386" w:firstLineChars="184"/>
              <w:jc w:val="left"/>
              <w:rPr>
                <w:rFonts w:ascii="宋体" w:hAnsi="宋体" w:cs="宋体"/>
                <w:szCs w:val="21"/>
              </w:rPr>
            </w:pPr>
            <w:r>
              <w:rPr>
                <w:rFonts w:hint="eastAsia" w:ascii="宋体" w:hAnsi="宋体" w:cs="宋体"/>
                <w:szCs w:val="21"/>
              </w:rPr>
              <w:t>a．投标保证金金额符合招标文件规定的金额，且投标保证金有效期不少于投标有效期；</w:t>
            </w:r>
          </w:p>
          <w:p>
            <w:pPr>
              <w:spacing w:line="286" w:lineRule="exact"/>
              <w:ind w:firstLine="386" w:firstLineChars="184"/>
              <w:jc w:val="left"/>
              <w:rPr>
                <w:rFonts w:ascii="宋体" w:hAnsi="宋体" w:cs="宋体"/>
                <w:szCs w:val="21"/>
              </w:rPr>
            </w:pPr>
            <w:r>
              <w:rPr>
                <w:rFonts w:hint="eastAsia" w:ascii="宋体" w:hAnsi="宋体" w:cs="宋体"/>
                <w:szCs w:val="21"/>
              </w:rPr>
              <w:t>b.若投标保证金采用现金或支票形式提交，投标人应在递交投标文件截止时间之前，将投标保证金由投标人的基本账户转入招标人指定账户；</w:t>
            </w:r>
          </w:p>
          <w:p>
            <w:pPr>
              <w:spacing w:line="286" w:lineRule="exact"/>
              <w:ind w:firstLine="386" w:firstLineChars="184"/>
              <w:jc w:val="left"/>
              <w:rPr>
                <w:rFonts w:ascii="宋体" w:hAnsi="宋体" w:cs="宋体"/>
                <w:szCs w:val="21"/>
              </w:rPr>
            </w:pPr>
            <w:r>
              <w:rPr>
                <w:rFonts w:hint="eastAsia" w:ascii="宋体" w:hAnsi="宋体" w:cs="宋体"/>
                <w:szCs w:val="21"/>
              </w:rPr>
              <w:t>c.若投标保证金采用银行保函形式提交，银行保函的格式、开具保函的银行均满足招标文件要求，且在递交投标文件截止时间之前向招标人提交了银行保函原件。</w:t>
            </w:r>
          </w:p>
          <w:p>
            <w:pPr>
              <w:spacing w:line="286" w:lineRule="exact"/>
              <w:ind w:firstLine="386" w:firstLineChars="184"/>
              <w:jc w:val="left"/>
              <w:rPr>
                <w:rFonts w:ascii="宋体" w:hAnsi="宋体" w:cs="宋体"/>
                <w:szCs w:val="21"/>
              </w:rPr>
            </w:pPr>
            <w:r>
              <w:rPr>
                <w:rFonts w:hint="eastAsia" w:ascii="宋体" w:hAnsi="宋体" w:cs="宋体"/>
                <w:szCs w:val="21"/>
              </w:rPr>
              <w:t>（4）</w:t>
            </w:r>
            <w:r>
              <w:rPr>
                <w:rFonts w:hint="eastAsia" w:ascii="宋体" w:hAnsi="宋体"/>
                <w:szCs w:val="21"/>
              </w:rPr>
              <w:t>投标人法定代表人授权委托代理人签署投标文件的，</w:t>
            </w:r>
            <w:r>
              <w:rPr>
                <w:rFonts w:ascii="宋体" w:hAnsi="宋体"/>
                <w:szCs w:val="21"/>
              </w:rPr>
              <w:t>须提交授权</w:t>
            </w:r>
            <w:r>
              <w:rPr>
                <w:rFonts w:hint="eastAsia" w:ascii="宋体" w:hAnsi="宋体"/>
                <w:szCs w:val="21"/>
              </w:rPr>
              <w:t>委托书，授权委托书符合招标文件规定</w:t>
            </w:r>
            <w:r>
              <w:rPr>
                <w:rFonts w:hint="eastAsia" w:ascii="宋体" w:hAnsi="宋体" w:cs="宋体"/>
                <w:szCs w:val="21"/>
              </w:rPr>
              <w:t>。</w:t>
            </w:r>
          </w:p>
          <w:p>
            <w:pPr>
              <w:spacing w:line="286" w:lineRule="exact"/>
              <w:ind w:firstLine="386" w:firstLineChars="184"/>
              <w:jc w:val="left"/>
              <w:rPr>
                <w:rFonts w:ascii="宋体" w:hAnsi="宋体" w:cs="宋体"/>
                <w:szCs w:val="21"/>
              </w:rPr>
            </w:pPr>
            <w:r>
              <w:rPr>
                <w:rFonts w:hint="eastAsia" w:ascii="宋体" w:hAnsi="宋体" w:cs="宋体"/>
                <w:szCs w:val="21"/>
              </w:rPr>
              <w:t>（5）</w:t>
            </w:r>
            <w:r>
              <w:rPr>
                <w:rFonts w:ascii="宋体" w:hAnsi="宋体"/>
                <w:szCs w:val="21"/>
              </w:rPr>
              <w:t>投标人法定代表人亲自签署投标文件的， 提供了法定代表人身份</w:t>
            </w:r>
            <w:r>
              <w:rPr>
                <w:rFonts w:hint="eastAsia" w:ascii="宋体" w:hAnsi="宋体"/>
                <w:szCs w:val="21"/>
              </w:rPr>
              <w:t>证明，法定代表人身份证明符合招标文件规定</w:t>
            </w:r>
            <w:r>
              <w:rPr>
                <w:rFonts w:hint="eastAsia" w:ascii="宋体" w:hAnsi="宋体" w:cs="宋体"/>
                <w:szCs w:val="21"/>
              </w:rPr>
              <w:t>。</w:t>
            </w:r>
          </w:p>
          <w:p>
            <w:pPr>
              <w:ind w:firstLine="420" w:firstLineChars="200"/>
              <w:rPr>
                <w:rFonts w:ascii="宋体" w:hAnsi="宋体"/>
                <w:szCs w:val="21"/>
              </w:rPr>
            </w:pPr>
            <w:r>
              <w:rPr>
                <w:rFonts w:hint="eastAsia" w:ascii="宋体" w:hAnsi="宋体"/>
                <w:szCs w:val="21"/>
              </w:rPr>
              <w:t>（6）投标人以联合体形式投标时，联合体满足招标文件的要求：</w:t>
            </w:r>
          </w:p>
          <w:p>
            <w:pPr>
              <w:ind w:firstLine="420" w:firstLineChars="200"/>
              <w:rPr>
                <w:rFonts w:ascii="宋体" w:hAnsi="宋体"/>
                <w:szCs w:val="21"/>
              </w:rPr>
            </w:pPr>
            <w:r>
              <w:rPr>
                <w:rFonts w:hint="eastAsia" w:ascii="宋体" w:hAnsi="宋体"/>
                <w:szCs w:val="21"/>
              </w:rPr>
              <w:t>投标人按照招标文件提供的格式签订了联合体协议书，明确各方承担连带责任，并明确了联合体牵头人。</w:t>
            </w:r>
            <w:r>
              <w:rPr>
                <w:rFonts w:hint="eastAsia" w:ascii="宋体" w:hAnsi="宋体"/>
              </w:rPr>
              <w:t>联合体各方均未再以自己名义单独或参加其他联合体的投标；独立参与投标的，投标人未同时参加联合体投标</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（7）投标人未提出进行分包计划。</w:t>
            </w:r>
          </w:p>
          <w:p>
            <w:pPr>
              <w:tabs>
                <w:tab w:val="left" w:pos="3060"/>
              </w:tabs>
              <w:spacing w:line="320" w:lineRule="exact"/>
              <w:ind w:firstLine="210" w:firstLineChars="100"/>
              <w:rPr>
                <w:rFonts w:ascii="宋体" w:hAnsi="宋体"/>
                <w:szCs w:val="21"/>
              </w:rPr>
            </w:pPr>
            <w:r>
              <w:rPr>
                <w:rFonts w:hint="eastAsia" w:ascii="宋体" w:hAnsi="宋体"/>
                <w:szCs w:val="21"/>
              </w:rPr>
              <w:t>（8）同一投标人未提交两个以上不同的投标文件。</w:t>
            </w:r>
          </w:p>
          <w:p>
            <w:pPr>
              <w:tabs>
                <w:tab w:val="left" w:pos="3060"/>
              </w:tabs>
              <w:spacing w:line="320" w:lineRule="exact"/>
              <w:ind w:firstLine="210" w:firstLineChars="100"/>
              <w:rPr>
                <w:rFonts w:ascii="宋体" w:hAnsi="宋体"/>
                <w:szCs w:val="21"/>
              </w:rPr>
            </w:pPr>
            <w:r>
              <w:rPr>
                <w:rFonts w:hint="eastAsia" w:ascii="宋体" w:hAnsi="宋体"/>
                <w:szCs w:val="21"/>
              </w:rPr>
              <w:t>（9）投标文件第一个信封（商务及技术文件）中未出现有关投标报价的内容。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（10）投标文件载明的招标项目完成期限，</w:t>
            </w:r>
            <w:r>
              <w:rPr>
                <w:rFonts w:hint="eastAsia" w:ascii="宋体" w:hAnsi="宋体" w:cs="宋体"/>
                <w:szCs w:val="21"/>
              </w:rPr>
              <w:t>符合招标文件规定</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（11）投标文件对招标文件的实质性要求和条件作出响应。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（12）权利义务符合招标文件规定：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b.投标人未增加发包人的责任范围，或减少投标人义务；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05" w:firstLineChars="98"/>
              <w:rPr>
                <w:rFonts w:ascii="宋体" w:hAnsi="宋体"/>
                <w:bCs/>
                <w:szCs w:val="21"/>
              </w:rPr>
            </w:pPr>
            <w:r>
              <w:rPr>
                <w:rFonts w:hint="eastAsia" w:ascii="宋体" w:hAnsi="宋体" w:cs="宋体"/>
                <w:szCs w:val="21"/>
              </w:rPr>
              <w:t>（1）投标文件按照招标文件规定的格式、内容填写，字迹清晰可辨：</w:t>
            </w:r>
          </w:p>
          <w:p>
            <w:pPr>
              <w:tabs>
                <w:tab w:val="left" w:pos="3060"/>
              </w:tabs>
              <w:spacing w:line="320" w:lineRule="exact"/>
              <w:ind w:firstLine="205" w:firstLineChars="98"/>
              <w:rPr>
                <w:rFonts w:ascii="宋体" w:hAnsi="宋体"/>
                <w:bCs/>
                <w:szCs w:val="21"/>
              </w:rPr>
            </w:pPr>
            <w:r>
              <w:rPr>
                <w:rFonts w:hint="eastAsia" w:ascii="宋体" w:hAnsi="宋体"/>
                <w:bCs/>
                <w:szCs w:val="21"/>
              </w:rPr>
              <w:t>a.投标函按招标文件规定填报了项目名称、补遗书编号（如有）、投标价（包括大写金额和小写金额）；</w:t>
            </w:r>
          </w:p>
          <w:p>
            <w:pPr>
              <w:tabs>
                <w:tab w:val="left" w:pos="3060"/>
              </w:tabs>
              <w:spacing w:line="320" w:lineRule="exact"/>
              <w:ind w:firstLine="205" w:firstLineChars="98"/>
              <w:rPr>
                <w:rFonts w:ascii="宋体" w:hAnsi="宋体"/>
                <w:bCs/>
                <w:szCs w:val="21"/>
              </w:rPr>
            </w:pPr>
            <w:r>
              <w:rPr>
                <w:rFonts w:ascii="宋体" w:hAnsi="宋体"/>
                <w:bCs/>
                <w:szCs w:val="21"/>
              </w:rPr>
              <w:t>b</w:t>
            </w:r>
            <w:r>
              <w:rPr>
                <w:rFonts w:hint="eastAsia" w:ascii="宋体" w:hAnsi="宋体"/>
                <w:bCs/>
                <w:szCs w:val="21"/>
              </w:rPr>
              <w:t>.投标文件组成齐全完整，内容均按规定填写。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w:t>
            </w:r>
            <w:r>
              <w:rPr>
                <w:rFonts w:hint="eastAsia" w:ascii="宋体" w:hAnsi="宋体" w:cs="宋体"/>
                <w:szCs w:val="21"/>
              </w:rPr>
              <w:t>投标文件上法定代表人或其授权代理人的签字、投标人的单位章盖章齐全，符合招标文件规定</w:t>
            </w:r>
            <w:r>
              <w:rPr>
                <w:rFonts w:hint="eastAsia" w:ascii="宋体" w:hAnsi="宋体"/>
                <w:bCs/>
                <w:szCs w:val="21"/>
              </w:rPr>
              <w:t>。</w:t>
            </w:r>
          </w:p>
          <w:p>
            <w:pPr>
              <w:tabs>
                <w:tab w:val="left" w:pos="3060"/>
              </w:tabs>
              <w:spacing w:line="320" w:lineRule="exact"/>
              <w:ind w:firstLine="205" w:firstLineChars="98"/>
              <w:rPr>
                <w:rFonts w:ascii="宋体" w:hAnsi="宋体"/>
                <w:bCs/>
                <w:szCs w:val="21"/>
              </w:rPr>
            </w:pPr>
            <w:r>
              <w:rPr>
                <w:rFonts w:hint="eastAsia" w:ascii="宋体" w:hAnsi="宋体"/>
                <w:bCs/>
                <w:szCs w:val="21"/>
              </w:rPr>
              <w:t>（3）投标报价中的报价未超过招标文件分别设定的最高投标限价和最高单价限价。</w:t>
            </w:r>
          </w:p>
          <w:p>
            <w:pPr>
              <w:tabs>
                <w:tab w:val="left" w:pos="3060"/>
              </w:tabs>
              <w:spacing w:line="320" w:lineRule="exact"/>
              <w:ind w:firstLine="205" w:firstLineChars="98"/>
              <w:rPr>
                <w:rFonts w:ascii="宋体" w:hAnsi="宋体"/>
                <w:bCs/>
                <w:szCs w:val="21"/>
              </w:rPr>
            </w:pPr>
            <w:r>
              <w:rPr>
                <w:rFonts w:hint="eastAsia" w:ascii="宋体" w:hAnsi="宋体"/>
                <w:bCs/>
                <w:szCs w:val="21"/>
              </w:rPr>
              <w:t>（4）投标报价中报价的大写金额能够确定具体数值。</w:t>
            </w:r>
          </w:p>
          <w:p>
            <w:pPr>
              <w:tabs>
                <w:tab w:val="left" w:pos="3060"/>
              </w:tabs>
              <w:spacing w:line="320" w:lineRule="exact"/>
              <w:ind w:firstLine="205" w:firstLineChars="98"/>
              <w:rPr>
                <w:rFonts w:ascii="宋体" w:hAnsi="宋体"/>
                <w:bCs/>
                <w:szCs w:val="21"/>
              </w:rPr>
            </w:pPr>
            <w:r>
              <w:rPr>
                <w:rFonts w:hint="eastAsia" w:ascii="宋体" w:hAnsi="宋体"/>
                <w:bCs/>
                <w:szCs w:val="21"/>
              </w:rPr>
              <w:t>（5）同一投标人未提交两个以上不同的投标报价。</w:t>
            </w:r>
          </w:p>
          <w:p>
            <w:pPr>
              <w:tabs>
                <w:tab w:val="left" w:pos="3060"/>
              </w:tabs>
              <w:spacing w:line="320" w:lineRule="exact"/>
              <w:ind w:firstLine="205" w:firstLineChars="98"/>
              <w:rPr>
                <w:rFonts w:ascii="宋体" w:hAnsi="宋体"/>
                <w:bCs/>
                <w:szCs w:val="21"/>
              </w:rPr>
            </w:pPr>
            <w:r>
              <w:rPr>
                <w:rFonts w:hint="eastAsia" w:ascii="宋体" w:hAnsi="宋体"/>
                <w:bCs/>
                <w:szCs w:val="21"/>
              </w:rPr>
              <w:t>（6）投标人未提交调价函。</w:t>
            </w:r>
          </w:p>
          <w:p>
            <w:pPr>
              <w:tabs>
                <w:tab w:val="left" w:pos="3060"/>
              </w:tabs>
              <w:spacing w:line="320" w:lineRule="exact"/>
              <w:ind w:firstLine="205" w:firstLineChars="98"/>
              <w:rPr>
                <w:rFonts w:ascii="宋体" w:hAnsi="宋体"/>
                <w:bCs/>
                <w:szCs w:val="21"/>
              </w:rPr>
            </w:pPr>
            <w:r>
              <w:rPr>
                <w:rFonts w:hint="eastAsia" w:ascii="宋体" w:hAnsi="宋体"/>
                <w:bCs/>
                <w:szCs w:val="21"/>
              </w:rPr>
              <w:t xml:space="preserve">（7）投标人清单中的投标报价和投标函大写金额报价一致。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pct"/>
            <w:vAlign w:val="center"/>
          </w:tcPr>
          <w:p>
            <w:pPr>
              <w:jc w:val="center"/>
              <w:rPr>
                <w:rFonts w:ascii="宋体" w:hAnsi="宋体" w:cs="宋体"/>
                <w:szCs w:val="21"/>
              </w:rPr>
            </w:pPr>
            <w:r>
              <w:rPr>
                <w:rFonts w:hint="eastAsia" w:ascii="宋体" w:hAnsi="宋体" w:cs="宋体"/>
                <w:szCs w:val="21"/>
              </w:rPr>
              <w:t>2.1.2</w:t>
            </w:r>
          </w:p>
        </w:tc>
        <w:tc>
          <w:tcPr>
            <w:tcW w:w="663" w:type="pct"/>
            <w:vAlign w:val="center"/>
          </w:tcPr>
          <w:p>
            <w:pPr>
              <w:jc w:val="center"/>
              <w:rPr>
                <w:rFonts w:ascii="宋体" w:hAnsi="宋体" w:cs="宋体"/>
                <w:szCs w:val="21"/>
              </w:rPr>
            </w:pPr>
            <w:r>
              <w:rPr>
                <w:rFonts w:hint="eastAsia" w:ascii="宋体" w:hAnsi="宋体" w:cs="宋体"/>
                <w:szCs w:val="21"/>
              </w:rPr>
              <w:t>资格评审标准</w:t>
            </w:r>
          </w:p>
        </w:tc>
        <w:tc>
          <w:tcPr>
            <w:tcW w:w="3780" w:type="pct"/>
            <w:vAlign w:val="center"/>
          </w:tcPr>
          <w:p>
            <w:pPr>
              <w:rPr>
                <w:rFonts w:ascii="宋体" w:hAnsi="宋体"/>
                <w:szCs w:val="21"/>
              </w:rPr>
            </w:pPr>
            <w:r>
              <w:rPr>
                <w:rFonts w:hint="eastAsia" w:ascii="宋体" w:hAnsi="宋体"/>
                <w:szCs w:val="21"/>
              </w:rPr>
              <w:t>（1）投标人具备有效的营业执照、组织机构代码证、资质证书、安全生产许可证和基本账户开户许可证（</w:t>
            </w:r>
            <w:r>
              <w:rPr>
                <w:rFonts w:hint="eastAsia" w:ascii="宋体" w:hAnsi="宋体"/>
              </w:rPr>
              <w:t>或基本存款账户信息</w:t>
            </w:r>
            <w:r>
              <w:rPr>
                <w:rFonts w:hint="eastAsia" w:ascii="宋体" w:hAnsi="宋体"/>
                <w:szCs w:val="21"/>
              </w:rPr>
              <w:t>）。</w:t>
            </w:r>
          </w:p>
          <w:p>
            <w:pPr>
              <w:rPr>
                <w:rFonts w:ascii="宋体" w:hAnsi="宋体"/>
                <w:szCs w:val="21"/>
              </w:rPr>
            </w:pPr>
            <w:r>
              <w:rPr>
                <w:rFonts w:hint="eastAsia" w:ascii="宋体" w:hAnsi="宋体"/>
                <w:szCs w:val="21"/>
              </w:rPr>
              <w:t>（2）投标人的资质等级符合招标文件规定。</w:t>
            </w:r>
          </w:p>
          <w:p>
            <w:pPr>
              <w:rPr>
                <w:rFonts w:ascii="宋体" w:hAnsi="宋体"/>
                <w:szCs w:val="21"/>
              </w:rPr>
            </w:pPr>
            <w:r>
              <w:rPr>
                <w:rFonts w:hint="eastAsia" w:ascii="宋体" w:hAnsi="宋体"/>
                <w:szCs w:val="21"/>
              </w:rPr>
              <w:t>（3）投标人的财务状况符合招标文件规定。</w:t>
            </w:r>
          </w:p>
          <w:p>
            <w:pPr>
              <w:rPr>
                <w:rFonts w:ascii="宋体" w:hAnsi="宋体"/>
                <w:szCs w:val="21"/>
              </w:rPr>
            </w:pPr>
            <w:r>
              <w:rPr>
                <w:rFonts w:hint="eastAsia" w:ascii="宋体" w:hAnsi="宋体"/>
                <w:szCs w:val="21"/>
              </w:rPr>
              <w:t>（4）投标人的业绩符合招标文件规定。</w:t>
            </w:r>
          </w:p>
          <w:p>
            <w:pPr>
              <w:rPr>
                <w:rFonts w:ascii="宋体" w:hAnsi="宋体"/>
                <w:szCs w:val="21"/>
              </w:rPr>
            </w:pPr>
            <w:r>
              <w:rPr>
                <w:rFonts w:hint="eastAsia" w:ascii="宋体" w:hAnsi="宋体"/>
                <w:szCs w:val="21"/>
              </w:rPr>
              <w:t>（5）投标人的信誉符合招标文件规定。</w:t>
            </w:r>
          </w:p>
          <w:p>
            <w:pPr>
              <w:rPr>
                <w:rFonts w:ascii="宋体" w:hAnsi="宋体"/>
                <w:szCs w:val="21"/>
              </w:rPr>
            </w:pPr>
            <w:r>
              <w:rPr>
                <w:rFonts w:hint="eastAsia" w:ascii="宋体" w:hAnsi="宋体"/>
                <w:szCs w:val="21"/>
              </w:rPr>
              <w:t>（6）投标人的项目负责人、施工负责人和检测负责人符合招标文件规定。</w:t>
            </w:r>
          </w:p>
          <w:p>
            <w:pPr>
              <w:rPr>
                <w:rFonts w:ascii="宋体" w:hAnsi="宋体"/>
                <w:szCs w:val="21"/>
              </w:rPr>
            </w:pPr>
            <w:r>
              <w:rPr>
                <w:rFonts w:hint="eastAsia" w:ascii="宋体" w:hAnsi="宋体"/>
                <w:szCs w:val="21"/>
              </w:rPr>
              <w:t>（7）投标人不存在第二章“投标人须知”第 1.4.3 项或第 1.4.4 项规定的任何一种情形。</w:t>
            </w:r>
          </w:p>
          <w:p>
            <w:pPr>
              <w:rPr>
                <w:rFonts w:ascii="宋体" w:hAnsi="宋体"/>
                <w:szCs w:val="21"/>
              </w:rPr>
            </w:pPr>
            <w:r>
              <w:rPr>
                <w:rFonts w:hint="eastAsia" w:ascii="宋体" w:hAnsi="宋体"/>
                <w:szCs w:val="21"/>
              </w:rPr>
              <w:t>（8）投标人符合第二章“投标人须知”第1.4.5项规定（工程设计综合甲级资质、检测资质不适用）。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pct"/>
            <w:vAlign w:val="center"/>
          </w:tcPr>
          <w:p>
            <w:pPr>
              <w:jc w:val="center"/>
              <w:rPr>
                <w:rFonts w:ascii="宋体" w:hAnsi="宋体" w:cs="宋体"/>
                <w:szCs w:val="21"/>
              </w:rPr>
            </w:pPr>
            <w:r>
              <w:rPr>
                <w:rFonts w:hint="eastAsia" w:ascii="宋体" w:hAnsi="宋体" w:cs="宋体"/>
                <w:szCs w:val="21"/>
              </w:rPr>
              <w:t>2.2.1</w:t>
            </w:r>
          </w:p>
        </w:tc>
        <w:tc>
          <w:tcPr>
            <w:tcW w:w="663" w:type="pct"/>
            <w:vAlign w:val="center"/>
          </w:tcPr>
          <w:p>
            <w:pPr>
              <w:jc w:val="center"/>
              <w:rPr>
                <w:rFonts w:ascii="宋体" w:hAnsi="宋体" w:cs="宋体"/>
                <w:szCs w:val="21"/>
              </w:rPr>
            </w:pPr>
            <w:r>
              <w:rPr>
                <w:rFonts w:hint="eastAsia" w:ascii="宋体" w:hAnsi="宋体"/>
              </w:rPr>
              <w:t>分值构成（总分值100分）</w:t>
            </w:r>
          </w:p>
        </w:tc>
        <w:tc>
          <w:tcPr>
            <w:tcW w:w="3780" w:type="pct"/>
            <w:vAlign w:val="center"/>
          </w:tcPr>
          <w:p>
            <w:pPr>
              <w:rPr>
                <w:rFonts w:ascii="宋体" w:hAnsi="宋体"/>
                <w:b/>
                <w:szCs w:val="21"/>
              </w:rPr>
            </w:pPr>
            <w:r>
              <w:rPr>
                <w:rFonts w:hint="eastAsia" w:ascii="宋体" w:hAnsi="宋体"/>
                <w:b/>
                <w:szCs w:val="21"/>
              </w:rPr>
              <w:t>第一个信封（商务及技术文件）评分分值构成：</w:t>
            </w:r>
          </w:p>
          <w:p>
            <w:pPr>
              <w:spacing w:line="320" w:lineRule="exact"/>
              <w:rPr>
                <w:rFonts w:ascii="宋体" w:hAnsi="宋体"/>
                <w:szCs w:val="21"/>
              </w:rPr>
            </w:pPr>
            <w:r>
              <w:rPr>
                <w:rFonts w:hint="eastAsia" w:ascii="宋体" w:hAnsi="宋体"/>
                <w:szCs w:val="21"/>
              </w:rPr>
              <w:t>承包人建议书：</w:t>
            </w:r>
            <w:r>
              <w:rPr>
                <w:rFonts w:hint="eastAsia" w:ascii="宋体" w:hAnsi="宋体"/>
                <w:szCs w:val="21"/>
                <w:u w:val="single"/>
              </w:rPr>
              <w:t>20</w:t>
            </w:r>
            <w:r>
              <w:rPr>
                <w:rFonts w:ascii="宋体" w:hAnsi="宋体"/>
                <w:szCs w:val="21"/>
              </w:rPr>
              <w:t>分</w:t>
            </w:r>
          </w:p>
          <w:p>
            <w:pPr>
              <w:spacing w:line="320" w:lineRule="exact"/>
              <w:rPr>
                <w:rFonts w:ascii="宋体" w:hAnsi="宋体"/>
                <w:szCs w:val="21"/>
              </w:rPr>
            </w:pPr>
            <w:r>
              <w:rPr>
                <w:rFonts w:hint="eastAsia" w:ascii="宋体" w:hAnsi="宋体"/>
                <w:szCs w:val="21"/>
              </w:rPr>
              <w:t>承包人实施计划：</w:t>
            </w:r>
            <w:r>
              <w:rPr>
                <w:rFonts w:hint="eastAsia" w:ascii="宋体" w:hAnsi="宋体"/>
                <w:szCs w:val="21"/>
                <w:u w:val="single"/>
              </w:rPr>
              <w:t>30</w:t>
            </w:r>
            <w:r>
              <w:rPr>
                <w:rFonts w:ascii="宋体" w:hAnsi="宋体"/>
                <w:szCs w:val="21"/>
              </w:rPr>
              <w:t>分</w:t>
            </w:r>
          </w:p>
          <w:p>
            <w:pPr>
              <w:rPr>
                <w:rFonts w:ascii="宋体" w:hAnsi="宋体"/>
                <w:b/>
                <w:szCs w:val="21"/>
              </w:rPr>
            </w:pPr>
            <w:r>
              <w:rPr>
                <w:rFonts w:hint="eastAsia" w:ascii="宋体" w:hAnsi="宋体"/>
                <w:b/>
                <w:szCs w:val="21"/>
              </w:rPr>
              <w:t>第二个信封（报价文件）评分分值构成：</w:t>
            </w:r>
          </w:p>
          <w:p>
            <w:pPr>
              <w:pStyle w:val="2"/>
              <w:spacing w:after="312"/>
              <w:rPr>
                <w:rFonts w:ascii="宋体" w:hAnsi="宋体"/>
                <w:highlight w:val="yellow"/>
              </w:rPr>
            </w:pPr>
            <w:r>
              <w:rPr>
                <w:rFonts w:ascii="宋体" w:hAnsi="宋体"/>
                <w:szCs w:val="21"/>
              </w:rPr>
              <w:t>投标报价：</w:t>
            </w:r>
            <w:r>
              <w:rPr>
                <w:rFonts w:hint="eastAsia" w:ascii="宋体" w:hAnsi="宋体"/>
                <w:szCs w:val="21"/>
                <w:u w:val="single"/>
              </w:rPr>
              <w:t>5</w:t>
            </w:r>
            <w:r>
              <w:rPr>
                <w:rFonts w:ascii="宋体" w:hAnsi="宋体"/>
                <w:szCs w:val="21"/>
                <w:u w:val="single"/>
              </w:rPr>
              <w:t xml:space="preserve">0 </w:t>
            </w:r>
            <w:r>
              <w:rPr>
                <w:rFonts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pct"/>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.2.2</w:t>
            </w:r>
          </w:p>
        </w:tc>
        <w:tc>
          <w:tcPr>
            <w:tcW w:w="663" w:type="pct"/>
            <w:vAlign w:val="center"/>
          </w:tcPr>
          <w:p>
            <w:pPr>
              <w:adjustRightInd w:val="0"/>
              <w:snapToGrid w:val="0"/>
              <w:spacing w:line="276" w:lineRule="auto"/>
              <w:jc w:val="center"/>
              <w:rPr>
                <w:rFonts w:ascii="宋体" w:hAnsi="宋体"/>
              </w:rPr>
            </w:pPr>
            <w:r>
              <w:rPr>
                <w:rFonts w:hint="eastAsia" w:ascii="宋体" w:hAnsi="宋体"/>
              </w:rPr>
              <w:t>评标基准价计算方法</w:t>
            </w:r>
          </w:p>
        </w:tc>
        <w:tc>
          <w:tcPr>
            <w:tcW w:w="3780" w:type="pct"/>
            <w:vAlign w:val="center"/>
          </w:tcPr>
          <w:p>
            <w:pPr>
              <w:spacing w:line="276" w:lineRule="auto"/>
              <w:ind w:firstLine="420" w:firstLineChars="200"/>
              <w:rPr>
                <w:rFonts w:ascii="宋体" w:hAnsi="宋体"/>
              </w:rPr>
            </w:pPr>
            <w:r>
              <w:rPr>
                <w:rFonts w:hint="eastAsia" w:ascii="宋体" w:hAnsi="宋体"/>
              </w:rPr>
              <w:t>评标基准价的计算：</w:t>
            </w:r>
          </w:p>
          <w:p>
            <w:pPr>
              <w:spacing w:line="276" w:lineRule="auto"/>
              <w:ind w:firstLine="420" w:firstLineChars="200"/>
              <w:rPr>
                <w:rFonts w:ascii="宋体" w:hAnsi="宋体"/>
              </w:rPr>
            </w:pPr>
            <w:r>
              <w:rPr>
                <w:rFonts w:hint="eastAsia" w:ascii="宋体" w:hAnsi="宋体"/>
              </w:rPr>
              <w:t>在第二个信封</w:t>
            </w:r>
            <w:r>
              <w:rPr>
                <w:rFonts w:hint="eastAsia" w:ascii="宋体" w:hAnsi="宋体"/>
                <w:szCs w:val="21"/>
              </w:rPr>
              <w:t>开标</w:t>
            </w:r>
            <w:r>
              <w:rPr>
                <w:rFonts w:hint="eastAsia" w:ascii="宋体" w:hAnsi="宋体"/>
              </w:rPr>
              <w:t>现场，招标人将当场计算并宣布评标基准价。</w:t>
            </w:r>
          </w:p>
          <w:p>
            <w:pPr>
              <w:spacing w:line="276" w:lineRule="auto"/>
              <w:ind w:firstLine="420" w:firstLineChars="200"/>
              <w:rPr>
                <w:rFonts w:ascii="宋体" w:hAnsi="宋体"/>
              </w:rPr>
            </w:pPr>
            <w:r>
              <w:rPr>
                <w:rFonts w:hint="eastAsia" w:ascii="宋体" w:hAnsi="宋体"/>
              </w:rPr>
              <w:t>（1）评标价的确定：评标价＝投标函文字报价</w:t>
            </w:r>
          </w:p>
          <w:p>
            <w:pPr>
              <w:spacing w:line="276" w:lineRule="auto"/>
              <w:ind w:firstLine="420" w:firstLineChars="200"/>
              <w:rPr>
                <w:rFonts w:ascii="宋体" w:hAnsi="宋体"/>
              </w:rPr>
            </w:pPr>
            <w:r>
              <w:rPr>
                <w:rFonts w:hint="eastAsia" w:ascii="宋体" w:hAnsi="宋体"/>
              </w:rPr>
              <w:t>（2）评标价平均值的计算：</w:t>
            </w:r>
          </w:p>
          <w:p>
            <w:pPr>
              <w:spacing w:line="276" w:lineRule="auto"/>
              <w:ind w:firstLine="420" w:firstLineChars="200"/>
              <w:rPr>
                <w:rFonts w:ascii="宋体" w:hAnsi="宋体"/>
              </w:rPr>
            </w:pPr>
            <w:r>
              <w:rPr>
                <w:rFonts w:hint="eastAsia" w:ascii="宋体" w:hAnsi="宋体"/>
              </w:rPr>
              <w:t>除按第二章“投标人须知”第5.2.4项规定开标现场被宣布为不进入评标基准价计算的评标价之外，</w:t>
            </w:r>
            <w:r>
              <w:rPr>
                <w:rFonts w:hint="eastAsia" w:ascii="宋体" w:hAnsi="宋体" w:cs="宋体"/>
                <w:szCs w:val="21"/>
              </w:rPr>
              <w:t>所有投标人的评标价去掉</w:t>
            </w:r>
            <w:r>
              <w:rPr>
                <w:rFonts w:hint="eastAsia" w:ascii="宋体" w:hAnsi="宋体"/>
              </w:rPr>
              <w:t>n1个最高评标价值和n2个最低评标价值后的算术平均值即为评标价平均值（评标价平均值保留小数点后两位，小数点后第三位四舍五入）。</w:t>
            </w:r>
          </w:p>
          <w:p>
            <w:pPr>
              <w:spacing w:line="276" w:lineRule="auto"/>
              <w:ind w:firstLine="420" w:firstLineChars="200"/>
              <w:rPr>
                <w:rFonts w:ascii="宋体" w:hAnsi="宋体"/>
              </w:rPr>
            </w:pPr>
            <w:r>
              <w:rPr>
                <w:rFonts w:hint="eastAsia" w:ascii="宋体" w:hAnsi="宋体" w:cs="宋体"/>
                <w:szCs w:val="21"/>
              </w:rPr>
              <w:t>如果参与评标价平均值计算的投标人数量＜</w:t>
            </w:r>
            <w:r>
              <w:rPr>
                <w:rFonts w:ascii="宋体" w:hAnsi="宋体" w:cs="宋体"/>
                <w:szCs w:val="21"/>
              </w:rPr>
              <w:t>6</w:t>
            </w:r>
            <w:r>
              <w:rPr>
                <w:rFonts w:hint="eastAsia" w:ascii="宋体" w:hAnsi="宋体" w:cs="宋体"/>
                <w:szCs w:val="21"/>
              </w:rPr>
              <w:t>家时</w:t>
            </w:r>
            <w:r>
              <w:rPr>
                <w:rFonts w:hint="eastAsia" w:ascii="宋体" w:hAnsi="宋体"/>
              </w:rPr>
              <w:t>，n1=0，n2=0；</w:t>
            </w:r>
          </w:p>
          <w:p>
            <w:pPr>
              <w:spacing w:line="276" w:lineRule="auto"/>
              <w:ind w:firstLine="420" w:firstLineChars="200"/>
              <w:rPr>
                <w:rFonts w:ascii="宋体" w:hAnsi="宋体"/>
              </w:rPr>
            </w:pPr>
            <w:r>
              <w:rPr>
                <w:rFonts w:ascii="宋体" w:hAnsi="宋体" w:cs="宋体"/>
                <w:szCs w:val="21"/>
              </w:rPr>
              <w:t>6</w:t>
            </w:r>
            <w:r>
              <w:rPr>
                <w:rFonts w:hint="eastAsia" w:ascii="宋体" w:hAnsi="宋体" w:cs="宋体"/>
                <w:szCs w:val="21"/>
              </w:rPr>
              <w:t>家≤如果参与评标价平均值计算的投标人数量＜10家时</w:t>
            </w:r>
            <w:r>
              <w:rPr>
                <w:rFonts w:hint="eastAsia" w:ascii="宋体" w:hAnsi="宋体"/>
              </w:rPr>
              <w:t>，n1=1，n2=1；</w:t>
            </w:r>
          </w:p>
          <w:p>
            <w:pPr>
              <w:spacing w:line="276" w:lineRule="auto"/>
              <w:ind w:firstLine="420" w:firstLineChars="200"/>
              <w:rPr>
                <w:rFonts w:ascii="宋体" w:hAnsi="宋体"/>
              </w:rPr>
            </w:pPr>
            <w:r>
              <w:rPr>
                <w:rFonts w:ascii="宋体" w:hAnsi="宋体" w:cs="宋体"/>
                <w:szCs w:val="21"/>
              </w:rPr>
              <w:t>10</w:t>
            </w:r>
            <w:r>
              <w:rPr>
                <w:rFonts w:hint="eastAsia" w:ascii="宋体" w:hAnsi="宋体" w:cs="宋体"/>
                <w:szCs w:val="21"/>
              </w:rPr>
              <w:t>家≤如果参与评标价平均值计算的投标人数量＜</w:t>
            </w:r>
            <w:r>
              <w:rPr>
                <w:rFonts w:ascii="宋体" w:hAnsi="宋体" w:cs="宋体"/>
                <w:szCs w:val="21"/>
              </w:rPr>
              <w:t>2</w:t>
            </w:r>
            <w:r>
              <w:rPr>
                <w:rFonts w:hint="eastAsia" w:ascii="宋体" w:hAnsi="宋体" w:cs="宋体"/>
                <w:szCs w:val="21"/>
              </w:rPr>
              <w:t>0家时</w:t>
            </w:r>
            <w:r>
              <w:rPr>
                <w:rFonts w:hint="eastAsia" w:ascii="宋体" w:hAnsi="宋体"/>
              </w:rPr>
              <w:t>，n1=2，n2=2；</w:t>
            </w:r>
          </w:p>
          <w:p>
            <w:pPr>
              <w:spacing w:line="276" w:lineRule="auto"/>
              <w:ind w:firstLine="420" w:firstLineChars="200"/>
              <w:rPr>
                <w:rFonts w:ascii="宋体" w:hAnsi="宋体"/>
              </w:rPr>
            </w:pPr>
            <w:r>
              <w:rPr>
                <w:rFonts w:ascii="宋体" w:hAnsi="宋体" w:cs="宋体"/>
                <w:szCs w:val="21"/>
              </w:rPr>
              <w:t>20</w:t>
            </w:r>
            <w:r>
              <w:rPr>
                <w:rFonts w:hint="eastAsia" w:ascii="宋体" w:hAnsi="宋体" w:cs="宋体"/>
                <w:szCs w:val="21"/>
              </w:rPr>
              <w:t>家≤如果参与评标价平均值计算的投标人数量时</w:t>
            </w:r>
            <w:r>
              <w:rPr>
                <w:rFonts w:hint="eastAsia" w:ascii="宋体" w:hAnsi="宋体"/>
              </w:rPr>
              <w:t>，n1=3，n2=3。</w:t>
            </w:r>
          </w:p>
          <w:p>
            <w:pPr>
              <w:spacing w:line="276" w:lineRule="auto"/>
              <w:ind w:firstLine="422" w:firstLineChars="200"/>
              <w:rPr>
                <w:rFonts w:ascii="宋体" w:hAnsi="宋体"/>
                <w:b/>
                <w:bCs/>
              </w:rPr>
            </w:pPr>
            <w:r>
              <w:rPr>
                <w:rFonts w:hint="eastAsia" w:ascii="宋体" w:hAnsi="宋体"/>
                <w:b/>
                <w:bCs/>
              </w:rPr>
              <w:t>（3）评标基准价的确定：</w:t>
            </w:r>
          </w:p>
          <w:p>
            <w:pPr>
              <w:spacing w:line="276" w:lineRule="auto"/>
              <w:ind w:firstLine="420" w:firstLineChars="200"/>
              <w:rPr>
                <w:rFonts w:ascii="宋体" w:hAnsi="宋体"/>
                <w:b/>
              </w:rPr>
            </w:pPr>
            <w:r>
              <w:rPr>
                <w:rFonts w:hint="eastAsia" w:ascii="宋体" w:hAnsi="宋体"/>
              </w:rPr>
              <w:t>将评标价平均值直接作为评标基准价。</w:t>
            </w:r>
          </w:p>
          <w:p>
            <w:pPr>
              <w:spacing w:line="276" w:lineRule="auto"/>
              <w:ind w:firstLine="420" w:firstLineChars="200"/>
              <w:rPr>
                <w:rFonts w:ascii="宋体" w:hAnsi="宋体"/>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p>
            <w:pPr>
              <w:tabs>
                <w:tab w:val="left" w:pos="3060"/>
              </w:tabs>
              <w:snapToGrid w:val="0"/>
              <w:spacing w:line="276" w:lineRule="auto"/>
              <w:ind w:firstLine="210" w:firstLineChars="100"/>
              <w:rPr>
                <w:rFonts w:ascii="宋体" w:hAnsi="宋体"/>
                <w:szCs w:val="21"/>
              </w:rPr>
            </w:pPr>
            <w:r>
              <w:rPr>
                <w:rFonts w:hint="eastAsia" w:ascii="宋体" w:hAnsi="宋体"/>
              </w:rPr>
              <w:t>当所有投标价都高于招标人投标控制价上限时，招标人将重新招标</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pct"/>
            <w:vAlign w:val="center"/>
          </w:tcPr>
          <w:p>
            <w:pPr>
              <w:jc w:val="center"/>
              <w:rPr>
                <w:rFonts w:ascii="宋体" w:hAnsi="宋体" w:cs="宋体"/>
                <w:szCs w:val="21"/>
              </w:rPr>
            </w:pPr>
            <w:r>
              <w:rPr>
                <w:rFonts w:hint="eastAsia" w:ascii="宋体" w:hAnsi="宋体" w:cs="宋体"/>
                <w:szCs w:val="21"/>
              </w:rPr>
              <w:t>2.2.3</w:t>
            </w:r>
          </w:p>
        </w:tc>
        <w:tc>
          <w:tcPr>
            <w:tcW w:w="663" w:type="pct"/>
            <w:vAlign w:val="center"/>
          </w:tcPr>
          <w:p>
            <w:pPr>
              <w:spacing w:line="320" w:lineRule="exact"/>
              <w:jc w:val="center"/>
              <w:rPr>
                <w:rFonts w:ascii="宋体" w:hAnsi="宋体"/>
                <w:szCs w:val="21"/>
              </w:rPr>
            </w:pPr>
            <w:r>
              <w:rPr>
                <w:rFonts w:hint="eastAsia" w:ascii="宋体" w:hAnsi="宋体"/>
                <w:szCs w:val="21"/>
              </w:rPr>
              <w:t>评标价</w:t>
            </w:r>
            <w:r>
              <w:rPr>
                <w:rFonts w:ascii="宋体" w:hAnsi="宋体"/>
                <w:szCs w:val="21"/>
              </w:rPr>
              <w:t>的偏差率</w:t>
            </w:r>
            <w:r>
              <w:rPr>
                <w:rFonts w:hint="eastAsia" w:ascii="宋体" w:hAnsi="宋体"/>
                <w:szCs w:val="21"/>
              </w:rPr>
              <w:t>计算公式</w:t>
            </w:r>
          </w:p>
        </w:tc>
        <w:tc>
          <w:tcPr>
            <w:tcW w:w="3780" w:type="pct"/>
            <w:vAlign w:val="center"/>
          </w:tcPr>
          <w:p>
            <w:pPr>
              <w:spacing w:line="320" w:lineRule="exact"/>
              <w:rPr>
                <w:rFonts w:ascii="宋体" w:hAnsi="宋体"/>
              </w:rPr>
            </w:pPr>
            <w:r>
              <w:rPr>
                <w:rFonts w:hint="eastAsia" w:ascii="宋体" w:hAnsi="宋体"/>
                <w:szCs w:val="21"/>
              </w:rPr>
              <w:t>偏差率</w:t>
            </w:r>
            <w:r>
              <w:rPr>
                <w:rFonts w:ascii="宋体" w:hAnsi="宋体"/>
                <w:szCs w:val="21"/>
              </w:rPr>
              <w:t>=100%×（</w:t>
            </w:r>
            <w:r>
              <w:rPr>
                <w:rFonts w:hint="eastAsia" w:ascii="宋体" w:hAnsi="宋体"/>
                <w:szCs w:val="21"/>
              </w:rPr>
              <w:t>评标价－</w:t>
            </w:r>
            <w:r>
              <w:rPr>
                <w:rFonts w:ascii="宋体" w:hAnsi="宋体"/>
                <w:szCs w:val="21"/>
              </w:rPr>
              <w:t>评标基准价）/评标基准价</w:t>
            </w:r>
          </w:p>
        </w:tc>
      </w:tr>
    </w:tbl>
    <w:p>
      <w:pPr>
        <w:pStyle w:val="5"/>
        <w:spacing w:line="360" w:lineRule="auto"/>
        <w:rPr>
          <w:rFonts w:hAnsi="宋体"/>
          <w:sz w:val="24"/>
        </w:rPr>
      </w:pPr>
    </w:p>
    <w:p>
      <w:pPr>
        <w:widowControl/>
        <w:jc w:val="left"/>
        <w:rPr>
          <w:rFonts w:ascii="宋体" w:hAnsi="宋体" w:cs="Courier New"/>
          <w:sz w:val="24"/>
          <w:szCs w:val="21"/>
        </w:rPr>
      </w:pPr>
      <w:r>
        <w:rPr>
          <w:rFonts w:ascii="宋体" w:hAnsi="宋体"/>
          <w:sz w:val="24"/>
        </w:rPr>
        <w:br w:type="page"/>
      </w:r>
    </w:p>
    <w:p>
      <w:pPr>
        <w:pStyle w:val="5"/>
        <w:spacing w:line="360" w:lineRule="auto"/>
        <w:rPr>
          <w:rFonts w:hAnsi="宋体"/>
          <w:sz w:val="24"/>
        </w:rPr>
      </w:pPr>
      <w:r>
        <w:rPr>
          <w:rFonts w:hint="eastAsia" w:hAnsi="宋体"/>
          <w:sz w:val="24"/>
        </w:rPr>
        <w:t>具体评分标准如下：</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53"/>
        <w:gridCol w:w="839"/>
        <w:gridCol w:w="2008"/>
        <w:gridCol w:w="725"/>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578" w:type="pct"/>
            <w:gridSpan w:val="5"/>
            <w:vAlign w:val="center"/>
          </w:tcPr>
          <w:p>
            <w:pPr>
              <w:pStyle w:val="5"/>
              <w:spacing w:line="160" w:lineRule="atLeast"/>
              <w:jc w:val="center"/>
              <w:rPr>
                <w:rFonts w:hAnsi="宋体"/>
              </w:rPr>
            </w:pPr>
            <w:r>
              <w:rPr>
                <w:rFonts w:hint="eastAsia" w:hAnsi="宋体"/>
              </w:rPr>
              <w:t>评分因素与权重分值</w:t>
            </w:r>
          </w:p>
        </w:tc>
        <w:tc>
          <w:tcPr>
            <w:tcW w:w="2422" w:type="pct"/>
            <w:vMerge w:val="restart"/>
            <w:vAlign w:val="center"/>
          </w:tcPr>
          <w:p>
            <w:pPr>
              <w:pStyle w:val="5"/>
              <w:spacing w:line="160" w:lineRule="atLeast"/>
              <w:jc w:val="center"/>
              <w:rPr>
                <w:rFonts w:hAnsi="宋体"/>
              </w:rPr>
            </w:pPr>
            <w:r>
              <w:rPr>
                <w:rFonts w:hint="eastAsia" w:hAnsi="宋体"/>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07" w:type="pct"/>
            <w:vAlign w:val="center"/>
          </w:tcPr>
          <w:p>
            <w:pPr>
              <w:pStyle w:val="5"/>
              <w:spacing w:line="160" w:lineRule="atLeast"/>
              <w:jc w:val="center"/>
              <w:rPr>
                <w:rFonts w:hAnsi="宋体"/>
              </w:rPr>
            </w:pPr>
            <w:r>
              <w:rPr>
                <w:rFonts w:hint="eastAsia" w:hAnsi="宋体"/>
              </w:rPr>
              <w:t>条款号</w:t>
            </w:r>
          </w:p>
        </w:tc>
        <w:tc>
          <w:tcPr>
            <w:tcW w:w="378" w:type="pct"/>
            <w:vAlign w:val="center"/>
          </w:tcPr>
          <w:p>
            <w:pPr>
              <w:pStyle w:val="5"/>
              <w:spacing w:line="160" w:lineRule="atLeast"/>
              <w:jc w:val="center"/>
              <w:rPr>
                <w:rFonts w:hAnsi="宋体"/>
              </w:rPr>
            </w:pPr>
            <w:r>
              <w:rPr>
                <w:rFonts w:hint="eastAsia" w:hAnsi="宋体"/>
              </w:rPr>
              <w:t>评分因素</w:t>
            </w:r>
          </w:p>
        </w:tc>
        <w:tc>
          <w:tcPr>
            <w:tcW w:w="421" w:type="pct"/>
            <w:vAlign w:val="center"/>
          </w:tcPr>
          <w:p>
            <w:pPr>
              <w:pStyle w:val="5"/>
              <w:spacing w:line="160" w:lineRule="atLeast"/>
              <w:jc w:val="center"/>
              <w:rPr>
                <w:rFonts w:hAnsi="宋体"/>
              </w:rPr>
            </w:pPr>
            <w:r>
              <w:rPr>
                <w:rFonts w:hint="eastAsia" w:hAnsi="宋体"/>
              </w:rPr>
              <w:t>评分因素 权重分值</w:t>
            </w:r>
          </w:p>
        </w:tc>
        <w:tc>
          <w:tcPr>
            <w:tcW w:w="1008" w:type="pct"/>
            <w:vAlign w:val="center"/>
          </w:tcPr>
          <w:p>
            <w:pPr>
              <w:pStyle w:val="5"/>
              <w:spacing w:line="160" w:lineRule="atLeast"/>
              <w:jc w:val="center"/>
              <w:rPr>
                <w:rFonts w:hAnsi="宋体"/>
              </w:rPr>
            </w:pPr>
            <w:r>
              <w:rPr>
                <w:rStyle w:val="17"/>
              </w:rPr>
              <w:t>各评分因素细分项</w:t>
            </w:r>
          </w:p>
        </w:tc>
        <w:tc>
          <w:tcPr>
            <w:tcW w:w="364" w:type="pct"/>
            <w:vAlign w:val="center"/>
          </w:tcPr>
          <w:p>
            <w:pPr>
              <w:pStyle w:val="5"/>
              <w:spacing w:line="160" w:lineRule="atLeast"/>
              <w:jc w:val="center"/>
              <w:rPr>
                <w:rFonts w:hAnsi="宋体"/>
              </w:rPr>
            </w:pPr>
            <w:r>
              <w:rPr>
                <w:rFonts w:hint="eastAsia" w:hAnsi="宋体"/>
              </w:rPr>
              <w:t>分值</w:t>
            </w:r>
          </w:p>
        </w:tc>
        <w:tc>
          <w:tcPr>
            <w:tcW w:w="2422" w:type="pct"/>
            <w:vMerge w:val="continue"/>
            <w:vAlign w:val="center"/>
          </w:tcPr>
          <w:p>
            <w:pPr>
              <w:pStyle w:val="5"/>
              <w:spacing w:line="160" w:lineRule="atLeas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07" w:type="pct"/>
            <w:vMerge w:val="restart"/>
            <w:vAlign w:val="center"/>
          </w:tcPr>
          <w:p>
            <w:pPr>
              <w:pStyle w:val="5"/>
              <w:spacing w:line="160" w:lineRule="atLeast"/>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2.2.4（1）</w:t>
            </w:r>
          </w:p>
        </w:tc>
        <w:tc>
          <w:tcPr>
            <w:tcW w:w="378" w:type="pct"/>
            <w:vMerge w:val="restart"/>
            <w:vAlign w:val="center"/>
          </w:tcPr>
          <w:p>
            <w:pPr>
              <w:pStyle w:val="5"/>
              <w:spacing w:line="160" w:lineRule="atLeast"/>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承包人建议书</w:t>
            </w:r>
          </w:p>
        </w:tc>
        <w:tc>
          <w:tcPr>
            <w:tcW w:w="421" w:type="pct"/>
            <w:vMerge w:val="restart"/>
            <w:vAlign w:val="center"/>
          </w:tcPr>
          <w:p>
            <w:pPr>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20分</w:t>
            </w:r>
          </w:p>
        </w:tc>
        <w:tc>
          <w:tcPr>
            <w:tcW w:w="1008" w:type="pct"/>
            <w:vAlign w:val="center"/>
          </w:tcPr>
          <w:p>
            <w:pPr>
              <w:pStyle w:val="5"/>
              <w:spacing w:line="160" w:lineRule="atLeast"/>
              <w:jc w:val="center"/>
              <w:rPr>
                <w:rFonts w:hAnsi="宋体"/>
              </w:rPr>
            </w:pPr>
            <w:r>
              <w:rPr>
                <w:rFonts w:hint="eastAsia" w:hAnsi="宋体" w:cs="宋体"/>
              </w:rPr>
              <w:t>对招标项目的理解和总体思路</w:t>
            </w:r>
          </w:p>
        </w:tc>
        <w:tc>
          <w:tcPr>
            <w:tcW w:w="364" w:type="pct"/>
            <w:vAlign w:val="center"/>
          </w:tcPr>
          <w:p>
            <w:pPr>
              <w:pStyle w:val="5"/>
              <w:spacing w:line="160" w:lineRule="atLeast"/>
              <w:jc w:val="center"/>
              <w:rPr>
                <w:rFonts w:hAnsi="宋体"/>
              </w:rPr>
            </w:pPr>
            <w:r>
              <w:rPr>
                <w:rFonts w:hAnsi="宋体"/>
              </w:rPr>
              <w:t>8</w:t>
            </w:r>
            <w:r>
              <w:rPr>
                <w:rFonts w:hint="eastAsia" w:hAnsi="宋体"/>
              </w:rPr>
              <w:t>分</w:t>
            </w:r>
          </w:p>
        </w:tc>
        <w:tc>
          <w:tcPr>
            <w:tcW w:w="2422" w:type="pct"/>
          </w:tcPr>
          <w:p>
            <w:pPr>
              <w:pStyle w:val="5"/>
              <w:spacing w:line="300" w:lineRule="exact"/>
              <w:jc w:val="left"/>
              <w:rPr>
                <w:rFonts w:hAnsi="宋体" w:cs="宋体"/>
              </w:rPr>
            </w:pPr>
            <w:r>
              <w:rPr>
                <w:rFonts w:hint="eastAsia" w:hAnsi="宋体" w:cs="宋体"/>
              </w:rPr>
              <w:t>对招标项目的理解和总体思路非常合理清晰准确得6</w:t>
            </w:r>
            <w:r>
              <w:rPr>
                <w:rFonts w:hAnsi="宋体" w:cs="宋体"/>
              </w:rPr>
              <w:t>.4-8.0</w:t>
            </w:r>
            <w:r>
              <w:rPr>
                <w:rFonts w:hint="eastAsia" w:hAnsi="宋体" w:cs="宋体"/>
              </w:rPr>
              <w:t>分；</w:t>
            </w:r>
          </w:p>
          <w:p>
            <w:pPr>
              <w:pStyle w:val="5"/>
              <w:spacing w:line="300" w:lineRule="exact"/>
              <w:jc w:val="left"/>
              <w:rPr>
                <w:rFonts w:hAnsi="宋体"/>
              </w:rPr>
            </w:pPr>
            <w:r>
              <w:rPr>
                <w:rFonts w:hint="eastAsia" w:hAnsi="宋体" w:cs="宋体"/>
              </w:rPr>
              <w:t>对招标项目的理解和总体思路较为合理清晰准确得</w:t>
            </w:r>
            <w:r>
              <w:rPr>
                <w:rFonts w:hAnsi="宋体" w:cs="宋体"/>
              </w:rPr>
              <w:t>4.8</w:t>
            </w:r>
            <w:r>
              <w:rPr>
                <w:rFonts w:hint="eastAsia" w:hAnsi="宋体" w:cs="宋体"/>
              </w:rPr>
              <w:t>-</w:t>
            </w:r>
            <w:r>
              <w:rPr>
                <w:rFonts w:hAnsi="宋体" w:cs="宋体"/>
              </w:rPr>
              <w:t>6.3</w:t>
            </w:r>
            <w:r>
              <w:rPr>
                <w:rFonts w:hint="eastAsia"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07" w:type="pct"/>
            <w:vMerge w:val="continue"/>
            <w:vAlign w:val="center"/>
          </w:tcPr>
          <w:p>
            <w:pPr>
              <w:pStyle w:val="5"/>
              <w:spacing w:line="160" w:lineRule="atLeast"/>
              <w:jc w:val="center"/>
              <w:rPr>
                <w:rFonts w:hAnsi="宋体"/>
                <w:color w:val="000000" w:themeColor="text1"/>
                <w14:textFill>
                  <w14:solidFill>
                    <w14:schemeClr w14:val="tx1"/>
                  </w14:solidFill>
                </w14:textFill>
              </w:rPr>
            </w:pPr>
          </w:p>
        </w:tc>
        <w:tc>
          <w:tcPr>
            <w:tcW w:w="378" w:type="pct"/>
            <w:vMerge w:val="continue"/>
            <w:vAlign w:val="center"/>
          </w:tcPr>
          <w:p>
            <w:pPr>
              <w:pStyle w:val="5"/>
              <w:spacing w:line="160" w:lineRule="atLeast"/>
              <w:jc w:val="center"/>
              <w:rPr>
                <w:rFonts w:hAnsi="宋体"/>
                <w:color w:val="000000" w:themeColor="text1"/>
                <w14:textFill>
                  <w14:solidFill>
                    <w14:schemeClr w14:val="tx1"/>
                  </w14:solidFill>
                </w14:textFill>
              </w:rPr>
            </w:pPr>
          </w:p>
        </w:tc>
        <w:tc>
          <w:tcPr>
            <w:tcW w:w="421" w:type="pct"/>
            <w:vMerge w:val="continue"/>
            <w:vAlign w:val="center"/>
          </w:tcPr>
          <w:p>
            <w:pPr>
              <w:spacing w:line="320" w:lineRule="exact"/>
              <w:jc w:val="center"/>
              <w:rPr>
                <w:rFonts w:ascii="宋体" w:hAnsi="宋体"/>
                <w:color w:val="000000" w:themeColor="text1"/>
                <w14:textFill>
                  <w14:solidFill>
                    <w14:schemeClr w14:val="tx1"/>
                  </w14:solidFill>
                </w14:textFill>
              </w:rPr>
            </w:pPr>
          </w:p>
        </w:tc>
        <w:tc>
          <w:tcPr>
            <w:tcW w:w="1008" w:type="pct"/>
            <w:vAlign w:val="center"/>
          </w:tcPr>
          <w:p>
            <w:pPr>
              <w:pStyle w:val="5"/>
              <w:spacing w:line="160" w:lineRule="atLeast"/>
              <w:jc w:val="center"/>
              <w:rPr>
                <w:rFonts w:hAnsi="宋体"/>
              </w:rPr>
            </w:pPr>
            <w:r>
              <w:rPr>
                <w:rFonts w:hint="eastAsia" w:hAnsi="宋体"/>
              </w:rPr>
              <w:t>设计、检测工作方案</w:t>
            </w:r>
          </w:p>
        </w:tc>
        <w:tc>
          <w:tcPr>
            <w:tcW w:w="364" w:type="pct"/>
            <w:vAlign w:val="center"/>
          </w:tcPr>
          <w:p>
            <w:pPr>
              <w:pStyle w:val="5"/>
              <w:spacing w:line="160" w:lineRule="atLeast"/>
              <w:jc w:val="center"/>
              <w:rPr>
                <w:rFonts w:hAnsi="宋体"/>
              </w:rPr>
            </w:pPr>
            <w:r>
              <w:rPr>
                <w:rFonts w:hAnsi="宋体"/>
              </w:rPr>
              <w:t>8</w:t>
            </w:r>
            <w:r>
              <w:rPr>
                <w:rFonts w:hint="eastAsia" w:hAnsi="宋体"/>
              </w:rPr>
              <w:t>分</w:t>
            </w:r>
          </w:p>
        </w:tc>
        <w:tc>
          <w:tcPr>
            <w:tcW w:w="2422" w:type="pct"/>
          </w:tcPr>
          <w:p>
            <w:pPr>
              <w:pStyle w:val="5"/>
              <w:spacing w:line="300" w:lineRule="exact"/>
              <w:jc w:val="left"/>
              <w:rPr>
                <w:rFonts w:hAnsi="宋体"/>
              </w:rPr>
            </w:pPr>
            <w:r>
              <w:rPr>
                <w:rFonts w:hint="eastAsia" w:hAnsi="宋体"/>
              </w:rPr>
              <w:t>设计、检测工作方案非常合理、突出、详细。得</w:t>
            </w:r>
            <w:r>
              <w:rPr>
                <w:rFonts w:hint="eastAsia" w:hAnsi="宋体" w:cs="宋体"/>
              </w:rPr>
              <w:t>6</w:t>
            </w:r>
            <w:r>
              <w:rPr>
                <w:rFonts w:hAnsi="宋体" w:cs="宋体"/>
              </w:rPr>
              <w:t>.4-8.0</w:t>
            </w:r>
            <w:r>
              <w:rPr>
                <w:rFonts w:hint="eastAsia" w:hAnsi="宋体" w:cs="宋体"/>
              </w:rPr>
              <w:t>分</w:t>
            </w:r>
            <w:r>
              <w:rPr>
                <w:rFonts w:hint="eastAsia" w:hAnsi="宋体"/>
              </w:rPr>
              <w:t>；</w:t>
            </w:r>
          </w:p>
          <w:p>
            <w:pPr>
              <w:pStyle w:val="5"/>
              <w:spacing w:line="300" w:lineRule="exact"/>
              <w:jc w:val="left"/>
              <w:rPr>
                <w:rFonts w:hAnsi="宋体" w:cs="宋体"/>
              </w:rPr>
            </w:pPr>
            <w:r>
              <w:rPr>
                <w:rFonts w:hint="eastAsia" w:hAnsi="宋体"/>
              </w:rPr>
              <w:t>设计、检测工作方案较合理、突出、详细。得</w:t>
            </w:r>
            <w:r>
              <w:rPr>
                <w:rFonts w:hAnsi="宋体" w:cs="宋体"/>
              </w:rPr>
              <w:t>4.8</w:t>
            </w:r>
            <w:r>
              <w:rPr>
                <w:rFonts w:hint="eastAsia" w:hAnsi="宋体" w:cs="宋体"/>
              </w:rPr>
              <w:t>-</w:t>
            </w:r>
            <w:r>
              <w:rPr>
                <w:rFonts w:hAnsi="宋体" w:cs="宋体"/>
              </w:rPr>
              <w:t>6.3</w:t>
            </w:r>
            <w:r>
              <w:rPr>
                <w:rFonts w:hint="eastAsia"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07" w:type="pct"/>
            <w:vMerge w:val="continue"/>
            <w:vAlign w:val="center"/>
          </w:tcPr>
          <w:p>
            <w:pPr>
              <w:pStyle w:val="5"/>
              <w:spacing w:line="160" w:lineRule="atLeast"/>
              <w:jc w:val="center"/>
              <w:rPr>
                <w:rFonts w:hAnsi="宋体"/>
                <w:color w:val="000000" w:themeColor="text1"/>
                <w14:textFill>
                  <w14:solidFill>
                    <w14:schemeClr w14:val="tx1"/>
                  </w14:solidFill>
                </w14:textFill>
              </w:rPr>
            </w:pPr>
          </w:p>
        </w:tc>
        <w:tc>
          <w:tcPr>
            <w:tcW w:w="378" w:type="pct"/>
            <w:vMerge w:val="continue"/>
            <w:vAlign w:val="center"/>
          </w:tcPr>
          <w:p>
            <w:pPr>
              <w:pStyle w:val="5"/>
              <w:spacing w:line="160" w:lineRule="atLeast"/>
              <w:jc w:val="center"/>
              <w:rPr>
                <w:rFonts w:hAnsi="宋体"/>
                <w:color w:val="000000" w:themeColor="text1"/>
                <w14:textFill>
                  <w14:solidFill>
                    <w14:schemeClr w14:val="tx1"/>
                  </w14:solidFill>
                </w14:textFill>
              </w:rPr>
            </w:pPr>
          </w:p>
        </w:tc>
        <w:tc>
          <w:tcPr>
            <w:tcW w:w="421" w:type="pct"/>
            <w:vMerge w:val="continue"/>
            <w:vAlign w:val="center"/>
          </w:tcPr>
          <w:p>
            <w:pPr>
              <w:spacing w:line="320" w:lineRule="exact"/>
              <w:jc w:val="center"/>
              <w:rPr>
                <w:rFonts w:ascii="宋体" w:hAnsi="宋体"/>
                <w:color w:val="000000" w:themeColor="text1"/>
                <w14:textFill>
                  <w14:solidFill>
                    <w14:schemeClr w14:val="tx1"/>
                  </w14:solidFill>
                </w14:textFill>
              </w:rPr>
            </w:pPr>
          </w:p>
        </w:tc>
        <w:tc>
          <w:tcPr>
            <w:tcW w:w="1008" w:type="pct"/>
            <w:vAlign w:val="center"/>
          </w:tcPr>
          <w:p>
            <w:pPr>
              <w:pStyle w:val="5"/>
              <w:spacing w:line="160" w:lineRule="atLeast"/>
              <w:jc w:val="center"/>
              <w:rPr>
                <w:rFonts w:hAnsi="宋体"/>
              </w:rPr>
            </w:pPr>
            <w:r>
              <w:rPr>
                <w:rFonts w:hint="eastAsia" w:hAnsi="宋体" w:cs="宋体"/>
              </w:rPr>
              <w:t>合理化建议</w:t>
            </w:r>
          </w:p>
        </w:tc>
        <w:tc>
          <w:tcPr>
            <w:tcW w:w="364" w:type="pct"/>
            <w:vAlign w:val="center"/>
          </w:tcPr>
          <w:p>
            <w:pPr>
              <w:pStyle w:val="5"/>
              <w:spacing w:line="160" w:lineRule="atLeast"/>
              <w:jc w:val="center"/>
              <w:rPr>
                <w:rFonts w:hAnsi="宋体"/>
              </w:rPr>
            </w:pPr>
            <w:r>
              <w:rPr>
                <w:rFonts w:hAnsi="宋体"/>
              </w:rPr>
              <w:t>4</w:t>
            </w:r>
            <w:r>
              <w:rPr>
                <w:rFonts w:hint="eastAsia" w:hAnsi="宋体"/>
              </w:rPr>
              <w:t>分</w:t>
            </w:r>
          </w:p>
        </w:tc>
        <w:tc>
          <w:tcPr>
            <w:tcW w:w="2422" w:type="pct"/>
          </w:tcPr>
          <w:p>
            <w:pPr>
              <w:pStyle w:val="5"/>
              <w:spacing w:line="300" w:lineRule="exact"/>
              <w:jc w:val="left"/>
              <w:rPr>
                <w:rFonts w:hAnsi="宋体"/>
              </w:rPr>
            </w:pPr>
            <w:r>
              <w:rPr>
                <w:rFonts w:hint="eastAsia" w:hAnsi="宋体" w:cs="宋体"/>
              </w:rPr>
              <w:t>合理化建议</w:t>
            </w:r>
            <w:r>
              <w:rPr>
                <w:rFonts w:hint="eastAsia" w:hAnsi="宋体"/>
              </w:rPr>
              <w:t xml:space="preserve">科学合理 </w:t>
            </w:r>
            <w:r>
              <w:rPr>
                <w:rFonts w:hAnsi="宋体"/>
              </w:rPr>
              <w:t>3</w:t>
            </w:r>
            <w:r>
              <w:rPr>
                <w:rFonts w:hint="eastAsia" w:hAnsi="宋体"/>
              </w:rPr>
              <w:t>.</w:t>
            </w:r>
            <w:r>
              <w:rPr>
                <w:rFonts w:hAnsi="宋体"/>
              </w:rPr>
              <w:t>2</w:t>
            </w:r>
            <w:r>
              <w:rPr>
                <w:rFonts w:hint="eastAsia" w:hAnsi="宋体"/>
              </w:rPr>
              <w:t>-</w:t>
            </w:r>
            <w:r>
              <w:rPr>
                <w:rFonts w:hAnsi="宋体"/>
              </w:rPr>
              <w:t>4</w:t>
            </w:r>
            <w:r>
              <w:rPr>
                <w:rFonts w:hint="eastAsia" w:hAnsi="宋体"/>
              </w:rPr>
              <w:t>.0分，一般</w:t>
            </w:r>
            <w:r>
              <w:rPr>
                <w:rFonts w:hAnsi="宋体"/>
              </w:rPr>
              <w:t>2.4</w:t>
            </w:r>
            <w:r>
              <w:rPr>
                <w:rFonts w:hint="eastAsia" w:hAnsi="宋体"/>
              </w:rPr>
              <w:t>-</w:t>
            </w:r>
            <w:r>
              <w:rPr>
                <w:rFonts w:hAnsi="宋体"/>
              </w:rPr>
              <w:t>3</w:t>
            </w:r>
            <w:r>
              <w:rPr>
                <w:rFonts w:hint="eastAsia" w:hAnsi="宋体"/>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 w:type="pct"/>
            <w:vMerge w:val="restart"/>
            <w:vAlign w:val="center"/>
          </w:tcPr>
          <w:p>
            <w:pPr>
              <w:pStyle w:val="5"/>
              <w:spacing w:line="160" w:lineRule="atLeast"/>
              <w:jc w:val="center"/>
              <w:rPr>
                <w:rFonts w:hAnsi="宋体"/>
              </w:rPr>
            </w:pPr>
            <w:r>
              <w:rPr>
                <w:rFonts w:hint="eastAsia" w:hAnsi="宋体"/>
              </w:rPr>
              <w:t>2.2.4（2）</w:t>
            </w:r>
          </w:p>
        </w:tc>
        <w:tc>
          <w:tcPr>
            <w:tcW w:w="378" w:type="pct"/>
            <w:vMerge w:val="restart"/>
            <w:vAlign w:val="center"/>
          </w:tcPr>
          <w:p>
            <w:pPr>
              <w:spacing w:line="320" w:lineRule="exact"/>
              <w:jc w:val="center"/>
              <w:rPr>
                <w:rFonts w:ascii="宋体" w:hAnsi="宋体"/>
              </w:rPr>
            </w:pPr>
            <w:r>
              <w:rPr>
                <w:rFonts w:hint="eastAsia" w:ascii="宋体" w:hAnsi="宋体"/>
              </w:rPr>
              <w:t>承包人实施计划</w:t>
            </w:r>
          </w:p>
        </w:tc>
        <w:tc>
          <w:tcPr>
            <w:tcW w:w="421" w:type="pct"/>
            <w:vMerge w:val="restart"/>
            <w:vAlign w:val="center"/>
          </w:tcPr>
          <w:p>
            <w:pPr>
              <w:pStyle w:val="5"/>
              <w:spacing w:line="160" w:lineRule="atLeast"/>
              <w:jc w:val="center"/>
              <w:rPr>
                <w:rFonts w:hAnsi="宋体"/>
              </w:rPr>
            </w:pPr>
            <w:r>
              <w:rPr>
                <w:rFonts w:hint="eastAsia" w:hAnsi="宋体"/>
              </w:rPr>
              <w:t>30分</w:t>
            </w:r>
          </w:p>
        </w:tc>
        <w:tc>
          <w:tcPr>
            <w:tcW w:w="1008"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总体实施方案</w:t>
            </w:r>
          </w:p>
        </w:tc>
        <w:tc>
          <w:tcPr>
            <w:tcW w:w="364" w:type="pct"/>
            <w:vAlign w:val="center"/>
          </w:tcPr>
          <w:p>
            <w:pPr>
              <w:pStyle w:val="5"/>
              <w:spacing w:line="160" w:lineRule="atLeast"/>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5分</w:t>
            </w:r>
          </w:p>
        </w:tc>
        <w:tc>
          <w:tcPr>
            <w:tcW w:w="2422"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内容完整，编制科学，指导性强4.</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-5.0分</w:t>
            </w: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内容较完整，编制较科学合理3.0-4.0分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 w:type="pct"/>
            <w:vMerge w:val="continue"/>
            <w:vAlign w:val="center"/>
          </w:tcPr>
          <w:p>
            <w:pPr>
              <w:pStyle w:val="5"/>
              <w:spacing w:line="160" w:lineRule="atLeast"/>
              <w:jc w:val="center"/>
              <w:rPr>
                <w:rFonts w:hAnsi="宋体"/>
              </w:rPr>
            </w:pPr>
          </w:p>
        </w:tc>
        <w:tc>
          <w:tcPr>
            <w:tcW w:w="378" w:type="pct"/>
            <w:vMerge w:val="continue"/>
            <w:vAlign w:val="center"/>
          </w:tcPr>
          <w:p>
            <w:pPr>
              <w:pStyle w:val="5"/>
              <w:spacing w:line="160" w:lineRule="atLeast"/>
              <w:jc w:val="center"/>
              <w:rPr>
                <w:rFonts w:hAnsi="宋体"/>
              </w:rPr>
            </w:pPr>
          </w:p>
        </w:tc>
        <w:tc>
          <w:tcPr>
            <w:tcW w:w="421" w:type="pct"/>
            <w:vMerge w:val="continue"/>
            <w:vAlign w:val="center"/>
          </w:tcPr>
          <w:p>
            <w:pPr>
              <w:pStyle w:val="5"/>
              <w:spacing w:line="160" w:lineRule="atLeast"/>
              <w:jc w:val="center"/>
              <w:rPr>
                <w:rFonts w:hAnsi="宋体"/>
              </w:rPr>
            </w:pPr>
          </w:p>
        </w:tc>
        <w:tc>
          <w:tcPr>
            <w:tcW w:w="1008"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施工实施方案</w:t>
            </w:r>
          </w:p>
        </w:tc>
        <w:tc>
          <w:tcPr>
            <w:tcW w:w="364" w:type="pct"/>
            <w:vAlign w:val="center"/>
          </w:tcPr>
          <w:p>
            <w:pPr>
              <w:pStyle w:val="5"/>
              <w:spacing w:line="160" w:lineRule="atLeast"/>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5分</w:t>
            </w:r>
          </w:p>
        </w:tc>
        <w:tc>
          <w:tcPr>
            <w:tcW w:w="2422"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内容完整，编制科学，指导性强4.</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-5.0分</w:t>
            </w:r>
          </w:p>
          <w:p>
            <w:pPr>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内容较完整，编制较科学合理3.0-4.0分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 w:type="pct"/>
            <w:vMerge w:val="continue"/>
            <w:vAlign w:val="center"/>
          </w:tcPr>
          <w:p>
            <w:pPr>
              <w:pStyle w:val="5"/>
              <w:spacing w:line="160" w:lineRule="atLeast"/>
              <w:jc w:val="center"/>
              <w:rPr>
                <w:rFonts w:hAnsi="宋体"/>
              </w:rPr>
            </w:pPr>
          </w:p>
        </w:tc>
        <w:tc>
          <w:tcPr>
            <w:tcW w:w="378" w:type="pct"/>
            <w:vMerge w:val="continue"/>
            <w:vAlign w:val="center"/>
          </w:tcPr>
          <w:p>
            <w:pPr>
              <w:pStyle w:val="5"/>
              <w:spacing w:line="160" w:lineRule="atLeast"/>
              <w:jc w:val="center"/>
              <w:rPr>
                <w:rFonts w:hAnsi="宋体"/>
              </w:rPr>
            </w:pPr>
          </w:p>
        </w:tc>
        <w:tc>
          <w:tcPr>
            <w:tcW w:w="421" w:type="pct"/>
            <w:vMerge w:val="continue"/>
            <w:vAlign w:val="center"/>
          </w:tcPr>
          <w:p>
            <w:pPr>
              <w:pStyle w:val="5"/>
              <w:spacing w:line="160" w:lineRule="atLeast"/>
              <w:jc w:val="center"/>
              <w:rPr>
                <w:rFonts w:hAnsi="宋体"/>
              </w:rPr>
            </w:pPr>
          </w:p>
        </w:tc>
        <w:tc>
          <w:tcPr>
            <w:tcW w:w="1008"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工期保证体系及保证措施</w:t>
            </w:r>
          </w:p>
        </w:tc>
        <w:tc>
          <w:tcPr>
            <w:tcW w:w="364" w:type="pct"/>
            <w:vAlign w:val="center"/>
          </w:tcPr>
          <w:p>
            <w:pPr>
              <w:pStyle w:val="5"/>
              <w:spacing w:line="160" w:lineRule="atLeast"/>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5分</w:t>
            </w:r>
          </w:p>
        </w:tc>
        <w:tc>
          <w:tcPr>
            <w:tcW w:w="2422" w:type="pct"/>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措施完善，科学合理，实施性强4.</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-5.0分</w:t>
            </w:r>
          </w:p>
          <w:p>
            <w:pPr>
              <w:pStyle w:val="2"/>
              <w:spacing w:after="312"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措施较完善，措施较合理，实施性较强3.0-4.0分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 w:type="pct"/>
            <w:vMerge w:val="continue"/>
            <w:vAlign w:val="center"/>
          </w:tcPr>
          <w:p>
            <w:pPr>
              <w:pStyle w:val="5"/>
              <w:spacing w:line="160" w:lineRule="atLeast"/>
              <w:jc w:val="center"/>
              <w:rPr>
                <w:rFonts w:hAnsi="宋体"/>
              </w:rPr>
            </w:pPr>
          </w:p>
        </w:tc>
        <w:tc>
          <w:tcPr>
            <w:tcW w:w="378" w:type="pct"/>
            <w:vMerge w:val="continue"/>
            <w:vAlign w:val="center"/>
          </w:tcPr>
          <w:p>
            <w:pPr>
              <w:pStyle w:val="5"/>
              <w:spacing w:line="160" w:lineRule="atLeast"/>
              <w:jc w:val="center"/>
              <w:rPr>
                <w:rFonts w:hAnsi="宋体"/>
              </w:rPr>
            </w:pPr>
          </w:p>
        </w:tc>
        <w:tc>
          <w:tcPr>
            <w:tcW w:w="421" w:type="pct"/>
            <w:vMerge w:val="continue"/>
            <w:vAlign w:val="center"/>
          </w:tcPr>
          <w:p>
            <w:pPr>
              <w:pStyle w:val="5"/>
              <w:spacing w:line="160" w:lineRule="atLeast"/>
              <w:jc w:val="center"/>
              <w:rPr>
                <w:rFonts w:hAnsi="宋体"/>
              </w:rPr>
            </w:pPr>
          </w:p>
        </w:tc>
        <w:tc>
          <w:tcPr>
            <w:tcW w:w="1008"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工程质量、安全生产管理体系及保证措施</w:t>
            </w:r>
          </w:p>
        </w:tc>
        <w:tc>
          <w:tcPr>
            <w:tcW w:w="364" w:type="pc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5分</w:t>
            </w:r>
          </w:p>
        </w:tc>
        <w:tc>
          <w:tcPr>
            <w:tcW w:w="2422"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措施完善，科学合理，实施性强4.</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-5.0分</w:t>
            </w:r>
          </w:p>
          <w:p>
            <w:pPr>
              <w:pStyle w:val="2"/>
              <w:spacing w:after="312"/>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措施较完善，措施较合理，实施性较强3.0-4.0分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 w:type="pct"/>
            <w:vMerge w:val="continue"/>
            <w:vAlign w:val="center"/>
          </w:tcPr>
          <w:p>
            <w:pPr>
              <w:pStyle w:val="5"/>
              <w:spacing w:line="160" w:lineRule="atLeast"/>
              <w:jc w:val="center"/>
              <w:rPr>
                <w:rFonts w:hAnsi="宋体"/>
              </w:rPr>
            </w:pPr>
          </w:p>
        </w:tc>
        <w:tc>
          <w:tcPr>
            <w:tcW w:w="378" w:type="pct"/>
            <w:vMerge w:val="continue"/>
            <w:vAlign w:val="center"/>
          </w:tcPr>
          <w:p>
            <w:pPr>
              <w:pStyle w:val="5"/>
              <w:spacing w:line="160" w:lineRule="atLeast"/>
              <w:jc w:val="center"/>
              <w:rPr>
                <w:rFonts w:hAnsi="宋体"/>
              </w:rPr>
            </w:pPr>
          </w:p>
        </w:tc>
        <w:tc>
          <w:tcPr>
            <w:tcW w:w="421" w:type="pct"/>
            <w:vMerge w:val="continue"/>
            <w:vAlign w:val="center"/>
          </w:tcPr>
          <w:p>
            <w:pPr>
              <w:pStyle w:val="5"/>
              <w:spacing w:line="160" w:lineRule="atLeast"/>
              <w:jc w:val="center"/>
              <w:rPr>
                <w:rFonts w:hAnsi="宋体"/>
              </w:rPr>
            </w:pPr>
          </w:p>
        </w:tc>
        <w:tc>
          <w:tcPr>
            <w:tcW w:w="1008"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环境保护、水土保持保证、文明施工体系及保证措施</w:t>
            </w:r>
          </w:p>
        </w:tc>
        <w:tc>
          <w:tcPr>
            <w:tcW w:w="364" w:type="pc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5分</w:t>
            </w:r>
          </w:p>
        </w:tc>
        <w:tc>
          <w:tcPr>
            <w:tcW w:w="2422" w:type="pct"/>
            <w:vAlign w:val="center"/>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措施完善，科学合理，实施性强4.</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-5.0分</w:t>
            </w:r>
          </w:p>
          <w:p>
            <w:pPr>
              <w:pStyle w:val="2"/>
              <w:spacing w:after="312"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措施较完善，措施较合理，实施性较强3.0-4.0分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 w:type="pct"/>
            <w:vMerge w:val="continue"/>
            <w:vAlign w:val="center"/>
          </w:tcPr>
          <w:p>
            <w:pPr>
              <w:pStyle w:val="5"/>
              <w:spacing w:line="160" w:lineRule="atLeast"/>
              <w:jc w:val="center"/>
              <w:rPr>
                <w:rFonts w:hAnsi="宋体"/>
              </w:rPr>
            </w:pPr>
          </w:p>
        </w:tc>
        <w:tc>
          <w:tcPr>
            <w:tcW w:w="378" w:type="pct"/>
            <w:vMerge w:val="continue"/>
            <w:vAlign w:val="center"/>
          </w:tcPr>
          <w:p>
            <w:pPr>
              <w:pStyle w:val="5"/>
              <w:spacing w:line="160" w:lineRule="atLeast"/>
              <w:jc w:val="center"/>
              <w:rPr>
                <w:rFonts w:hAnsi="宋体"/>
              </w:rPr>
            </w:pPr>
          </w:p>
        </w:tc>
        <w:tc>
          <w:tcPr>
            <w:tcW w:w="421" w:type="pct"/>
            <w:vMerge w:val="continue"/>
            <w:vAlign w:val="center"/>
          </w:tcPr>
          <w:p>
            <w:pPr>
              <w:pStyle w:val="5"/>
              <w:spacing w:line="160" w:lineRule="atLeast"/>
              <w:jc w:val="center"/>
              <w:rPr>
                <w:rFonts w:hAnsi="宋体"/>
              </w:rPr>
            </w:pPr>
          </w:p>
        </w:tc>
        <w:tc>
          <w:tcPr>
            <w:tcW w:w="1008" w:type="pct"/>
            <w:vAlign w:val="center"/>
          </w:tcPr>
          <w:p>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项目风险预测与防范，事故应急预案</w:t>
            </w:r>
          </w:p>
        </w:tc>
        <w:tc>
          <w:tcPr>
            <w:tcW w:w="364" w:type="pc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5分</w:t>
            </w:r>
          </w:p>
        </w:tc>
        <w:tc>
          <w:tcPr>
            <w:tcW w:w="2422" w:type="pct"/>
          </w:tcPr>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措施完善，科学合理，实施性强4.</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-5.0分</w:t>
            </w:r>
          </w:p>
          <w:p>
            <w:pPr>
              <w:pStyle w:val="2"/>
              <w:spacing w:after="312"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措施较完善，措施较合理，实施性较强3.0-4.0分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 w:type="pct"/>
            <w:tcBorders>
              <w:top w:val="nil"/>
              <w:bottom w:val="single" w:color="auto" w:sz="4" w:space="0"/>
            </w:tcBorders>
            <w:vAlign w:val="center"/>
          </w:tcPr>
          <w:p>
            <w:pPr>
              <w:pStyle w:val="5"/>
              <w:spacing w:line="160" w:lineRule="atLeast"/>
              <w:jc w:val="center"/>
              <w:rPr>
                <w:rFonts w:hAnsi="宋体"/>
              </w:rPr>
            </w:pPr>
            <w:r>
              <w:rPr>
                <w:rFonts w:hint="eastAsia" w:hAnsi="宋体"/>
              </w:rPr>
              <w:t>2.2.4（</w:t>
            </w:r>
            <w:r>
              <w:rPr>
                <w:rFonts w:hAnsi="宋体"/>
              </w:rPr>
              <w:t>4</w:t>
            </w:r>
            <w:r>
              <w:rPr>
                <w:rFonts w:hint="eastAsia" w:hAnsi="宋体"/>
              </w:rPr>
              <w:t>）</w:t>
            </w:r>
          </w:p>
        </w:tc>
        <w:tc>
          <w:tcPr>
            <w:tcW w:w="378" w:type="pct"/>
            <w:tcBorders>
              <w:top w:val="nil"/>
              <w:bottom w:val="single" w:color="auto" w:sz="4" w:space="0"/>
            </w:tcBorders>
            <w:vAlign w:val="center"/>
          </w:tcPr>
          <w:p>
            <w:pPr>
              <w:pStyle w:val="5"/>
              <w:spacing w:line="160" w:lineRule="atLeast"/>
              <w:jc w:val="center"/>
              <w:rPr>
                <w:rFonts w:hAnsi="宋体"/>
              </w:rPr>
            </w:pPr>
            <w:r>
              <w:rPr>
                <w:rFonts w:hAnsi="宋体"/>
              </w:rPr>
              <w:t>评标价</w:t>
            </w:r>
          </w:p>
        </w:tc>
        <w:tc>
          <w:tcPr>
            <w:tcW w:w="421" w:type="pct"/>
            <w:tcBorders>
              <w:top w:val="nil"/>
              <w:bottom w:val="single" w:color="auto" w:sz="4" w:space="0"/>
            </w:tcBorders>
            <w:vAlign w:val="center"/>
          </w:tcPr>
          <w:p>
            <w:pPr>
              <w:pStyle w:val="5"/>
              <w:jc w:val="center"/>
              <w:rPr>
                <w:rFonts w:hAnsi="宋体"/>
              </w:rPr>
            </w:pPr>
            <w:r>
              <w:rPr>
                <w:rFonts w:hint="eastAsia" w:hAnsi="宋体"/>
              </w:rPr>
              <w:t>50分</w:t>
            </w:r>
          </w:p>
        </w:tc>
        <w:tc>
          <w:tcPr>
            <w:tcW w:w="3794" w:type="pct"/>
            <w:gridSpan w:val="3"/>
            <w:tcBorders>
              <w:bottom w:val="single" w:color="auto" w:sz="4" w:space="0"/>
            </w:tcBorders>
            <w:vAlign w:val="center"/>
          </w:tcPr>
          <w:p>
            <w:pPr>
              <w:tabs>
                <w:tab w:val="left" w:pos="3060"/>
              </w:tabs>
              <w:rPr>
                <w:rFonts w:ascii="宋体" w:hAnsi="宋体"/>
                <w:szCs w:val="21"/>
              </w:rPr>
            </w:pPr>
            <w:r>
              <w:rPr>
                <w:rFonts w:ascii="宋体" w:hAnsi="宋体"/>
              </w:rPr>
              <w:t>评标价</w:t>
            </w:r>
            <w:r>
              <w:rPr>
                <w:rFonts w:hint="eastAsia" w:ascii="宋体" w:hAnsi="宋体"/>
                <w:szCs w:val="21"/>
              </w:rPr>
              <w:t>得分计算公式：</w:t>
            </w:r>
          </w:p>
          <w:p>
            <w:pPr>
              <w:tabs>
                <w:tab w:val="left" w:pos="3060"/>
              </w:tabs>
              <w:rPr>
                <w:rFonts w:ascii="宋体" w:hAnsi="宋体"/>
                <w:b/>
                <w:szCs w:val="21"/>
              </w:rPr>
            </w:pPr>
            <w:r>
              <w:rPr>
                <w:rFonts w:hint="eastAsia" w:ascii="宋体" w:hAnsi="宋体"/>
                <w:b/>
                <w:szCs w:val="21"/>
              </w:rPr>
              <w:t>公路技术状况评定评标价得分计算公式：</w:t>
            </w:r>
          </w:p>
          <w:p>
            <w:pPr>
              <w:tabs>
                <w:tab w:val="left" w:pos="3060"/>
              </w:tabs>
              <w:rPr>
                <w:rFonts w:ascii="宋体" w:hAnsi="宋体"/>
                <w:szCs w:val="21"/>
              </w:rPr>
            </w:pPr>
            <w:r>
              <w:rPr>
                <w:rFonts w:hint="eastAsia" w:ascii="宋体" w:hAnsi="宋体"/>
                <w:szCs w:val="21"/>
              </w:rPr>
              <w:t>（1）如果投标人的评标价＞评标基准价，则评标价得分＝</w:t>
            </w:r>
            <w:r>
              <w:rPr>
                <w:rFonts w:ascii="宋体" w:hAnsi="宋体"/>
                <w:szCs w:val="21"/>
              </w:rPr>
              <w:t>10</w:t>
            </w:r>
            <w:r>
              <w:rPr>
                <w:rFonts w:hint="eastAsia" w:ascii="宋体" w:hAnsi="宋体"/>
                <w:szCs w:val="21"/>
              </w:rPr>
              <w:t>－偏差率×10×E1；</w:t>
            </w:r>
          </w:p>
          <w:p>
            <w:pPr>
              <w:tabs>
                <w:tab w:val="left" w:pos="3060"/>
              </w:tabs>
              <w:rPr>
                <w:rFonts w:ascii="宋体" w:hAnsi="宋体"/>
                <w:szCs w:val="21"/>
              </w:rPr>
            </w:pPr>
            <w:r>
              <w:rPr>
                <w:rFonts w:hint="eastAsia" w:ascii="宋体" w:hAnsi="宋体"/>
                <w:szCs w:val="21"/>
              </w:rPr>
              <w:t>（2）如果投标人的评标价≤评标基准价，则评标价得分＝10＋偏差率×10×E2；</w:t>
            </w:r>
          </w:p>
          <w:p>
            <w:pPr>
              <w:tabs>
                <w:tab w:val="left" w:pos="3060"/>
              </w:tabs>
              <w:rPr>
                <w:rFonts w:ascii="宋体" w:hAnsi="宋体"/>
                <w:szCs w:val="21"/>
              </w:rPr>
            </w:pPr>
            <w:r>
              <w:rPr>
                <w:rFonts w:hint="eastAsia" w:ascii="宋体" w:hAnsi="宋体"/>
                <w:szCs w:val="21"/>
              </w:rPr>
              <w:t>其中，E1是评标价每高于评标基准价一个百分点的扣分值，E1＝0.2；E2是评标价每低于评标基准价一个百分点的扣分值，E2＝0.1。</w:t>
            </w:r>
          </w:p>
          <w:p>
            <w:pPr>
              <w:tabs>
                <w:tab w:val="left" w:pos="3060"/>
              </w:tabs>
              <w:rPr>
                <w:rFonts w:ascii="宋体" w:hAnsi="宋体"/>
                <w:szCs w:val="21"/>
              </w:rPr>
            </w:pPr>
          </w:p>
          <w:p>
            <w:pPr>
              <w:tabs>
                <w:tab w:val="left" w:pos="3060"/>
              </w:tabs>
              <w:rPr>
                <w:rFonts w:ascii="宋体" w:hAnsi="宋体"/>
                <w:b/>
                <w:szCs w:val="21"/>
              </w:rPr>
            </w:pPr>
            <w:r>
              <w:rPr>
                <w:rFonts w:hint="eastAsia" w:ascii="宋体" w:hAnsi="宋体"/>
                <w:b/>
                <w:szCs w:val="21"/>
              </w:rPr>
              <w:t>养护工程设计评标价得分计算公式：</w:t>
            </w:r>
          </w:p>
          <w:p>
            <w:pPr>
              <w:tabs>
                <w:tab w:val="left" w:pos="3060"/>
              </w:tabs>
              <w:rPr>
                <w:rFonts w:ascii="宋体" w:hAnsi="宋体"/>
                <w:szCs w:val="21"/>
              </w:rPr>
            </w:pPr>
            <w:r>
              <w:rPr>
                <w:rFonts w:hint="eastAsia" w:ascii="宋体" w:hAnsi="宋体"/>
                <w:szCs w:val="21"/>
              </w:rPr>
              <w:t>（1）如果投标人的评标价＞评标基准价，则评标价得分＝10－偏差率×10×E1；</w:t>
            </w:r>
          </w:p>
          <w:p>
            <w:pPr>
              <w:tabs>
                <w:tab w:val="left" w:pos="3060"/>
              </w:tabs>
              <w:rPr>
                <w:rFonts w:ascii="宋体" w:hAnsi="宋体"/>
                <w:szCs w:val="21"/>
              </w:rPr>
            </w:pPr>
            <w:r>
              <w:rPr>
                <w:rFonts w:hint="eastAsia" w:ascii="宋体" w:hAnsi="宋体"/>
                <w:szCs w:val="21"/>
              </w:rPr>
              <w:t>（2）如果投标人的评标价≤评标基准价，则评标价得分＝10＋偏差率×10×E2；</w:t>
            </w:r>
          </w:p>
          <w:p>
            <w:pPr>
              <w:tabs>
                <w:tab w:val="left" w:pos="3060"/>
              </w:tabs>
              <w:rPr>
                <w:rFonts w:ascii="宋体" w:hAnsi="宋体"/>
                <w:szCs w:val="21"/>
              </w:rPr>
            </w:pPr>
            <w:r>
              <w:rPr>
                <w:rFonts w:hint="eastAsia" w:ascii="宋体" w:hAnsi="宋体"/>
                <w:szCs w:val="21"/>
              </w:rPr>
              <w:t>其中，E1是评标价每高于评标基准价一个百分点的扣分值，E1＝0.2；E2是评标价每低于评标基准价一个百分点的扣分值，E2＝0.1。</w:t>
            </w:r>
          </w:p>
          <w:p>
            <w:pPr>
              <w:pStyle w:val="2"/>
              <w:spacing w:after="312"/>
              <w:rPr>
                <w:rFonts w:ascii="宋体" w:hAnsi="宋体"/>
              </w:rPr>
            </w:pPr>
          </w:p>
          <w:p>
            <w:pPr>
              <w:tabs>
                <w:tab w:val="left" w:pos="3060"/>
              </w:tabs>
              <w:rPr>
                <w:rFonts w:ascii="宋体" w:hAnsi="宋体"/>
                <w:b/>
                <w:szCs w:val="21"/>
              </w:rPr>
            </w:pPr>
            <w:r>
              <w:rPr>
                <w:rFonts w:hint="eastAsia" w:ascii="宋体" w:hAnsi="宋体"/>
                <w:b/>
                <w:szCs w:val="21"/>
              </w:rPr>
              <w:t>养护工程施工评标价得分计算公式：</w:t>
            </w:r>
          </w:p>
          <w:p>
            <w:pPr>
              <w:tabs>
                <w:tab w:val="left" w:pos="3060"/>
              </w:tabs>
              <w:rPr>
                <w:rFonts w:ascii="宋体" w:hAnsi="宋体"/>
                <w:szCs w:val="21"/>
              </w:rPr>
            </w:pPr>
            <w:r>
              <w:rPr>
                <w:rFonts w:hint="eastAsia" w:ascii="宋体" w:hAnsi="宋体"/>
                <w:szCs w:val="21"/>
              </w:rPr>
              <w:t>（1）如果投标人的评标价＞评标基准价，则评标价得分＝30－偏差率×</w:t>
            </w:r>
            <w:r>
              <w:rPr>
                <w:rFonts w:ascii="宋体" w:hAnsi="宋体"/>
                <w:szCs w:val="21"/>
              </w:rPr>
              <w:t>30</w:t>
            </w:r>
            <w:r>
              <w:rPr>
                <w:rFonts w:hint="eastAsia" w:ascii="宋体" w:hAnsi="宋体"/>
                <w:szCs w:val="21"/>
              </w:rPr>
              <w:t>×E1；</w:t>
            </w:r>
          </w:p>
          <w:p>
            <w:pPr>
              <w:tabs>
                <w:tab w:val="left" w:pos="3060"/>
              </w:tabs>
              <w:rPr>
                <w:rFonts w:ascii="宋体" w:hAnsi="宋体"/>
                <w:szCs w:val="21"/>
              </w:rPr>
            </w:pPr>
            <w:r>
              <w:rPr>
                <w:rFonts w:hint="eastAsia" w:ascii="宋体" w:hAnsi="宋体"/>
                <w:szCs w:val="21"/>
              </w:rPr>
              <w:t>（2）如果投标人的评标价≤评标基准价，则评标价得分＝</w:t>
            </w:r>
            <w:r>
              <w:rPr>
                <w:rFonts w:ascii="宋体" w:hAnsi="宋体"/>
                <w:szCs w:val="21"/>
              </w:rPr>
              <w:t>30</w:t>
            </w:r>
            <w:r>
              <w:rPr>
                <w:rFonts w:hint="eastAsia" w:ascii="宋体" w:hAnsi="宋体"/>
                <w:szCs w:val="21"/>
              </w:rPr>
              <w:t>＋偏差率×</w:t>
            </w:r>
            <w:r>
              <w:rPr>
                <w:rFonts w:ascii="宋体" w:hAnsi="宋体"/>
                <w:szCs w:val="21"/>
              </w:rPr>
              <w:t>30</w:t>
            </w:r>
            <w:r>
              <w:rPr>
                <w:rFonts w:hint="eastAsia" w:ascii="宋体" w:hAnsi="宋体"/>
                <w:szCs w:val="21"/>
              </w:rPr>
              <w:t>×E2；</w:t>
            </w:r>
          </w:p>
          <w:p>
            <w:pPr>
              <w:tabs>
                <w:tab w:val="left" w:pos="3060"/>
              </w:tabs>
              <w:rPr>
                <w:rFonts w:ascii="宋体" w:hAnsi="宋体"/>
                <w:szCs w:val="21"/>
              </w:rPr>
            </w:pPr>
            <w:r>
              <w:rPr>
                <w:rFonts w:hint="eastAsia" w:ascii="宋体" w:hAnsi="宋体"/>
                <w:szCs w:val="21"/>
              </w:rPr>
              <w:t>其中，E1是评标价每高于评标基准价一个百分点的扣分值，E1＝0.2；E2是评标价每低于评标基准价一个百分点的扣分值，E2＝0.1。</w:t>
            </w:r>
          </w:p>
          <w:p>
            <w:pPr>
              <w:jc w:val="left"/>
              <w:rPr>
                <w:rFonts w:ascii="宋体" w:hAnsi="宋体"/>
                <w:b/>
              </w:rPr>
            </w:pPr>
            <w:r>
              <w:rPr>
                <w:rFonts w:hint="eastAsia" w:ascii="宋体" w:hAnsi="宋体"/>
                <w:b/>
                <w:szCs w:val="21"/>
              </w:rPr>
              <w:t>各报价因素评标价得分之和为投标人最终投标报价得分。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tcBorders>
              <w:top w:val="single" w:color="auto" w:sz="4" w:space="0"/>
              <w:bottom w:val="single" w:color="auto" w:sz="4" w:space="0"/>
            </w:tcBorders>
            <w:vAlign w:val="center"/>
          </w:tcPr>
          <w:p>
            <w:pPr>
              <w:tabs>
                <w:tab w:val="left" w:pos="3060"/>
              </w:tabs>
              <w:spacing w:line="320" w:lineRule="exact"/>
              <w:rPr>
                <w:rFonts w:ascii="宋体" w:hAnsi="宋体"/>
              </w:rPr>
            </w:pPr>
            <w:r>
              <w:rPr>
                <w:rFonts w:ascii="宋体" w:hAnsi="宋体"/>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 w:type="pct"/>
            <w:tcBorders>
              <w:top w:val="single" w:color="auto" w:sz="4" w:space="0"/>
              <w:bottom w:val="single" w:color="auto" w:sz="4" w:space="0"/>
            </w:tcBorders>
            <w:vAlign w:val="center"/>
          </w:tcPr>
          <w:p>
            <w:pPr>
              <w:pStyle w:val="5"/>
              <w:spacing w:line="160" w:lineRule="atLeast"/>
              <w:jc w:val="center"/>
              <w:rPr>
                <w:rFonts w:hAnsi="宋体"/>
                <w:bCs/>
              </w:rPr>
            </w:pPr>
            <w:r>
              <w:rPr>
                <w:rFonts w:hint="eastAsia" w:hAnsi="宋体"/>
                <w:bCs/>
              </w:rPr>
              <w:t>3</w:t>
            </w:r>
          </w:p>
        </w:tc>
        <w:tc>
          <w:tcPr>
            <w:tcW w:w="799" w:type="pct"/>
            <w:gridSpan w:val="2"/>
            <w:tcBorders>
              <w:top w:val="single" w:color="auto" w:sz="4" w:space="0"/>
              <w:bottom w:val="single" w:color="auto" w:sz="4" w:space="0"/>
            </w:tcBorders>
            <w:vAlign w:val="center"/>
          </w:tcPr>
          <w:p>
            <w:pPr>
              <w:pStyle w:val="5"/>
              <w:spacing w:line="160" w:lineRule="atLeast"/>
              <w:jc w:val="center"/>
              <w:rPr>
                <w:rFonts w:hAnsi="宋体"/>
              </w:rPr>
            </w:pPr>
            <w:r>
              <w:rPr>
                <w:rFonts w:hint="eastAsia" w:hAnsi="宋体"/>
              </w:rPr>
              <w:t>评标程序</w:t>
            </w:r>
          </w:p>
        </w:tc>
        <w:tc>
          <w:tcPr>
            <w:tcW w:w="3794" w:type="pct"/>
            <w:gridSpan w:val="3"/>
            <w:tcBorders>
              <w:top w:val="single" w:color="auto" w:sz="4" w:space="0"/>
              <w:bottom w:val="single" w:color="auto" w:sz="4" w:space="0"/>
            </w:tcBorders>
            <w:vAlign w:val="center"/>
          </w:tcPr>
          <w:p>
            <w:pPr>
              <w:spacing w:line="280" w:lineRule="exact"/>
              <w:ind w:firstLine="420" w:firstLineChars="200"/>
              <w:rPr>
                <w:rFonts w:ascii="宋体" w:hAnsi="宋体"/>
                <w:szCs w:val="21"/>
              </w:rPr>
            </w:pPr>
            <w:r>
              <w:rPr>
                <w:rFonts w:hint="eastAsia" w:ascii="宋体" w:hAnsi="宋体"/>
                <w:szCs w:val="21"/>
              </w:rPr>
              <w:t>(1)招标人按照投标人须知的规定对投标文件第一个信封(商务及技术文件)进行开标。</w:t>
            </w:r>
          </w:p>
          <w:p>
            <w:pPr>
              <w:spacing w:line="280" w:lineRule="exact"/>
              <w:ind w:firstLine="420" w:firstLineChars="200"/>
              <w:rPr>
                <w:rFonts w:ascii="宋体" w:hAnsi="宋体"/>
                <w:szCs w:val="21"/>
              </w:rPr>
            </w:pPr>
            <w:r>
              <w:rPr>
                <w:rFonts w:hint="eastAsia" w:ascii="宋体" w:hAnsi="宋体"/>
                <w:szCs w:val="21"/>
              </w:rPr>
              <w:t>(2)评标委员会首先对投标文件第一个信封(商务及技术文件)进行评审，在对所有通过第一信封全部评审的投标人进行打分。</w:t>
            </w:r>
          </w:p>
          <w:p>
            <w:pPr>
              <w:spacing w:line="280" w:lineRule="exact"/>
              <w:ind w:firstLine="420" w:firstLineChars="200"/>
              <w:rPr>
                <w:rFonts w:ascii="宋体" w:hAnsi="宋体"/>
                <w:szCs w:val="21"/>
              </w:rPr>
            </w:pPr>
            <w:r>
              <w:rPr>
                <w:rFonts w:hint="eastAsia" w:ascii="宋体" w:hAnsi="宋体"/>
                <w:szCs w:val="21"/>
              </w:rPr>
              <w:t>(3)招标人按照投标人须知的规定对通过投标文件第一个信封(商务及技术文件) 全部评审的投标文件第二个信封(报价文件)进行开标。</w:t>
            </w:r>
          </w:p>
          <w:p>
            <w:pPr>
              <w:spacing w:line="280" w:lineRule="exact"/>
              <w:ind w:firstLine="420"/>
              <w:jc w:val="left"/>
              <w:rPr>
                <w:rFonts w:ascii="宋体" w:hAnsi="宋体"/>
                <w:color w:val="FF0000"/>
                <w:szCs w:val="21"/>
              </w:rPr>
            </w:pPr>
            <w:r>
              <w:rPr>
                <w:rFonts w:hint="eastAsia" w:ascii="宋体" w:hAnsi="宋体"/>
                <w:szCs w:val="21"/>
              </w:rPr>
              <w:t>(4)评标委员会对投标文件第二个信封(报价文件)进行形式和响应性评审后，对通过评审的投标人计算报价得分。</w:t>
            </w:r>
          </w:p>
          <w:p>
            <w:pPr>
              <w:spacing w:line="280" w:lineRule="exact"/>
              <w:ind w:firstLine="420"/>
              <w:jc w:val="left"/>
              <w:rPr>
                <w:rFonts w:ascii="宋体" w:hAnsi="宋体"/>
                <w:szCs w:val="21"/>
              </w:rPr>
            </w:pPr>
            <w:r>
              <w:rPr>
                <w:rFonts w:hint="eastAsia" w:ascii="宋体" w:hAnsi="宋体"/>
                <w:szCs w:val="21"/>
              </w:rPr>
              <w:t>（5）第一信封（商务及技术文件）评审得分和第二信封（报价文件）评审得分相加为投标人的最终得分。评标委员会按照最终得分推荐1-3个中标候选人。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7" w:type="pct"/>
            <w:tcBorders>
              <w:top w:val="single" w:color="auto" w:sz="4" w:space="0"/>
            </w:tcBorders>
            <w:vAlign w:val="center"/>
          </w:tcPr>
          <w:p>
            <w:pPr>
              <w:pStyle w:val="5"/>
              <w:spacing w:line="160" w:lineRule="atLeast"/>
              <w:jc w:val="center"/>
              <w:rPr>
                <w:rFonts w:hAnsi="宋体"/>
                <w:bCs/>
              </w:rPr>
            </w:pPr>
            <w:r>
              <w:rPr>
                <w:rFonts w:hint="eastAsia" w:hAnsi="宋体"/>
                <w:bCs/>
              </w:rPr>
              <w:t>3</w:t>
            </w:r>
            <w:r>
              <w:rPr>
                <w:rFonts w:hAnsi="宋体"/>
                <w:bCs/>
              </w:rPr>
              <w:t>.</w:t>
            </w:r>
            <w:r>
              <w:rPr>
                <w:rFonts w:hint="eastAsia" w:hAnsi="宋体"/>
                <w:bCs/>
              </w:rPr>
              <w:t>6</w:t>
            </w:r>
            <w:r>
              <w:rPr>
                <w:rFonts w:hAnsi="宋体"/>
                <w:bCs/>
              </w:rPr>
              <w:t>.1</w:t>
            </w:r>
          </w:p>
        </w:tc>
        <w:tc>
          <w:tcPr>
            <w:tcW w:w="799" w:type="pct"/>
            <w:gridSpan w:val="2"/>
            <w:tcBorders>
              <w:top w:val="single" w:color="auto" w:sz="4" w:space="0"/>
            </w:tcBorders>
            <w:vAlign w:val="center"/>
          </w:tcPr>
          <w:p>
            <w:pPr>
              <w:spacing w:line="280" w:lineRule="exact"/>
              <w:rPr>
                <w:rFonts w:ascii="宋体" w:hAnsi="宋体"/>
              </w:rPr>
            </w:pPr>
            <w:r>
              <w:rPr>
                <w:rFonts w:hint="eastAsia" w:ascii="宋体" w:hAnsi="宋体" w:cs="宋体"/>
              </w:rPr>
              <w:t>投标文件相关信息的核查</w:t>
            </w:r>
          </w:p>
        </w:tc>
        <w:tc>
          <w:tcPr>
            <w:tcW w:w="3794" w:type="pct"/>
            <w:gridSpan w:val="3"/>
            <w:tcBorders>
              <w:top w:val="single" w:color="auto" w:sz="4" w:space="0"/>
            </w:tcBorders>
            <w:vAlign w:val="center"/>
          </w:tcPr>
          <w:p>
            <w:pPr>
              <w:autoSpaceDE w:val="0"/>
              <w:autoSpaceDN w:val="0"/>
              <w:spacing w:line="276" w:lineRule="auto"/>
              <w:ind w:firstLine="420" w:firstLineChars="200"/>
              <w:rPr>
                <w:rFonts w:ascii="宋体" w:hAnsi="宋体" w:cs="宋体"/>
              </w:rPr>
            </w:pPr>
            <w:r>
              <w:rPr>
                <w:rFonts w:hint="eastAsia" w:ascii="宋体" w:hAnsi="宋体" w:cs="宋体"/>
              </w:rPr>
              <w:t>3.6.1款修改为：</w:t>
            </w:r>
          </w:p>
          <w:p>
            <w:pPr>
              <w:autoSpaceDE w:val="0"/>
              <w:autoSpaceDN w:val="0"/>
              <w:spacing w:line="276" w:lineRule="auto"/>
              <w:ind w:firstLine="420" w:firstLineChars="200"/>
              <w:rPr>
                <w:rFonts w:ascii="宋体" w:hAnsi="宋体" w:cs="宋体"/>
              </w:rPr>
            </w:pPr>
            <w:r>
              <w:rPr>
                <w:rFonts w:hint="eastAsia" w:ascii="宋体" w:hAnsi="宋体" w:cs="宋体"/>
              </w:rPr>
              <w:t>（1）投标人名称和资质与“全国公路建设市场信用信息管理系统（http://glxy.mot.gov.cn/）”的复核结果一致；（</w:t>
            </w:r>
            <w:r>
              <w:rPr>
                <w:rFonts w:hint="eastAsia" w:ascii="宋体" w:hAnsi="宋体"/>
                <w:szCs w:val="21"/>
              </w:rPr>
              <w:t>工程设计综合甲级资质</w:t>
            </w:r>
            <w:r>
              <w:rPr>
                <w:rFonts w:hint="eastAsia" w:ascii="宋体" w:hAnsi="宋体" w:cs="宋体"/>
              </w:rPr>
              <w:t>、检测资质不适用）</w:t>
            </w:r>
          </w:p>
          <w:p>
            <w:pPr>
              <w:autoSpaceDE w:val="0"/>
              <w:autoSpaceDN w:val="0"/>
              <w:spacing w:line="276" w:lineRule="auto"/>
              <w:ind w:firstLine="420" w:firstLineChars="200"/>
              <w:rPr>
                <w:rFonts w:ascii="宋体" w:hAnsi="宋体"/>
              </w:rPr>
            </w:pPr>
            <w:r>
              <w:rPr>
                <w:rFonts w:hint="eastAsia" w:ascii="宋体" w:hAnsi="宋体"/>
              </w:rPr>
              <w:t>（2）投标人的设计业绩、施工业绩符合招标文件规定，所附相关项目详细信息网页截图复印件与“全国公路建设市场信用信息管理系统（http://glxy.mot.gov.cn/）”的复核结果一致，并满足招标文件资格审查条件要求；</w:t>
            </w:r>
            <w:r>
              <w:rPr>
                <w:rFonts w:hint="eastAsia" w:ascii="宋体" w:hAnsi="宋体" w:cs="宋体"/>
              </w:rPr>
              <w:t>（检测业绩不适用）</w:t>
            </w:r>
          </w:p>
          <w:p>
            <w:pPr>
              <w:numPr>
                <w:ilvl w:val="0"/>
                <w:numId w:val="1"/>
              </w:numPr>
              <w:autoSpaceDE w:val="0"/>
              <w:autoSpaceDN w:val="0"/>
              <w:spacing w:line="276" w:lineRule="auto"/>
              <w:ind w:firstLine="420" w:firstLineChars="200"/>
              <w:rPr>
                <w:rFonts w:ascii="宋体" w:hAnsi="宋体"/>
              </w:rPr>
            </w:pPr>
            <w:r>
              <w:rPr>
                <w:rFonts w:hint="eastAsia" w:ascii="宋体" w:hAnsi="宋体"/>
              </w:rPr>
              <w:t>所附项目负责人、施工负责人业绩的网页截图复印件与“全国公路建设市场信用信息管理系统（http://glxy.mot.gov.cn/）”的核查结果一致，并满足招标文件资格审查条件要求；</w:t>
            </w:r>
          </w:p>
          <w:p>
            <w:pPr>
              <w:autoSpaceDE w:val="0"/>
              <w:autoSpaceDN w:val="0"/>
              <w:spacing w:line="276" w:lineRule="auto"/>
              <w:ind w:firstLine="420" w:firstLineChars="200"/>
              <w:rPr>
                <w:rFonts w:ascii="宋体" w:hAnsi="宋体"/>
              </w:rPr>
            </w:pPr>
            <w:r>
              <w:rPr>
                <w:rFonts w:hint="eastAsia" w:ascii="宋体" w:hAnsi="宋体"/>
              </w:rPr>
              <w:t>如投标人未提供相关网页截图复印件或相关网页截图复印件中的信息无法证实投标人满足招标文件的规定，则该证书或业绩不予认定。</w:t>
            </w:r>
          </w:p>
          <w:p>
            <w:pPr>
              <w:autoSpaceDE w:val="0"/>
              <w:autoSpaceDN w:val="0"/>
              <w:spacing w:line="276" w:lineRule="auto"/>
              <w:ind w:firstLine="422" w:firstLineChars="200"/>
              <w:rPr>
                <w:rFonts w:ascii="宋体" w:hAnsi="宋体"/>
              </w:rPr>
            </w:pPr>
            <w:r>
              <w:rPr>
                <w:rFonts w:hint="eastAsia" w:ascii="宋体" w:hAnsi="宋体"/>
                <w:b/>
              </w:rPr>
              <w:t>在评标过程中，评标委员会应对所有投标人以下信息进行查询：</w:t>
            </w:r>
          </w:p>
          <w:p>
            <w:pPr>
              <w:autoSpaceDE w:val="0"/>
              <w:autoSpaceDN w:val="0"/>
              <w:spacing w:line="276" w:lineRule="auto"/>
              <w:ind w:firstLine="420" w:firstLineChars="200"/>
              <w:rPr>
                <w:rFonts w:ascii="宋体" w:hAnsi="宋体" w:cs="宋体"/>
              </w:rPr>
            </w:pPr>
            <w:r>
              <w:rPr>
                <w:rFonts w:hint="eastAsia" w:ascii="宋体" w:hAnsi="宋体" w:cs="宋体"/>
              </w:rPr>
              <w:t>（1）所附施工负责人一级注册建造师信息的网页截图复印件与“全国建筑市场监管公共服务平台（http://jzsc.mohurd.gov.cn/） ”核查的结果一致，并满足招标文件资格审查条件要求。施工负责人的建造师注册证书的注册单位名称必须与负责施工的联合体成员单位名称一致；</w:t>
            </w:r>
          </w:p>
          <w:p>
            <w:pPr>
              <w:autoSpaceDE w:val="0"/>
              <w:autoSpaceDN w:val="0"/>
              <w:spacing w:line="276" w:lineRule="auto"/>
              <w:ind w:firstLine="420" w:firstLineChars="200"/>
              <w:rPr>
                <w:rFonts w:ascii="宋体" w:hAnsi="宋体" w:cs="宋体"/>
              </w:rPr>
            </w:pPr>
            <w:r>
              <w:rPr>
                <w:rFonts w:hint="eastAsia" w:ascii="宋体" w:hAnsi="宋体" w:cs="宋体"/>
              </w:rPr>
              <w:t>所附施工负责人的安全生产考核合格证的网页截图复印件与“交通运输部公路水运工程企业负责人和安全生产管理人员信息公共平台查询网站（http://219.143.235.78:8080/khglui/） ” 核查的结果一致，并满足招标文件资格审查条件要求。施工负责人的安全生产考核合格证的登记单位名称必须与负责施工的联合体成员单位名称一致。</w:t>
            </w:r>
          </w:p>
          <w:p>
            <w:pPr>
              <w:autoSpaceDE w:val="0"/>
              <w:autoSpaceDN w:val="0"/>
              <w:spacing w:line="276" w:lineRule="auto"/>
              <w:ind w:firstLine="420" w:firstLineChars="200"/>
              <w:rPr>
                <w:rFonts w:ascii="宋体" w:hAnsi="宋体" w:cs="宋体"/>
                <w:b/>
                <w:bCs/>
              </w:rPr>
            </w:pPr>
            <w:r>
              <w:rPr>
                <w:rFonts w:hint="eastAsia" w:ascii="宋体" w:hAnsi="宋体" w:cs="宋体"/>
              </w:rPr>
              <w:t>（2）评标委员会评标时在“国家企业信用信息公示系统”和“信用中国”网站对投标人的信用情况进行查询，若投标人存在“国家企业信用信息公示系统” 被列入严重违法失信企业名单（不含分公司）或在“信用中国”网站“被列入失信被执行人名单、企业经营异常情况名录、重大税收违法案件当事人名单、政府采购严重违法失信名单”情形的（均不含分公司），评标委员会应否决其投标。如投标人</w:t>
            </w:r>
            <w:r>
              <w:rPr>
                <w:rFonts w:hint="eastAsia" w:ascii="宋体" w:hAnsi="宋体" w:cs="宋体"/>
                <w:bCs/>
              </w:rPr>
              <w:t>未提供相关网页截图复印件</w:t>
            </w:r>
            <w:r>
              <w:rPr>
                <w:rFonts w:hint="eastAsia" w:ascii="宋体" w:hAnsi="宋体" w:cs="宋体"/>
              </w:rPr>
              <w:t>或相关网页截图复印件中的信息无法证实投标人满足招标文件规定，</w:t>
            </w:r>
            <w:r>
              <w:rPr>
                <w:rFonts w:hint="eastAsia" w:ascii="宋体" w:hAnsi="宋体" w:cs="宋体"/>
                <w:bCs/>
              </w:rPr>
              <w:t>则该证书不予认定。</w:t>
            </w:r>
          </w:p>
          <w:p>
            <w:pPr>
              <w:autoSpaceDE w:val="0"/>
              <w:autoSpaceDN w:val="0"/>
              <w:spacing w:line="276" w:lineRule="auto"/>
              <w:ind w:firstLine="420" w:firstLineChars="200"/>
              <w:rPr>
                <w:rFonts w:ascii="宋体" w:hAnsi="宋体"/>
              </w:rPr>
            </w:pPr>
            <w:r>
              <w:rPr>
                <w:rFonts w:hint="eastAsia" w:ascii="宋体" w:hAnsi="宋体"/>
              </w:rPr>
              <w:t>投标人应保证上述全部截图的真实性，如发现核查结果与所附截图不一致，则视为相关截图弄虚作假。投标人应及时核查并更新政府网站公开的信息，并承担由于信息填报不完整或者不准确等原因导致投标可能被否决的后果。</w:t>
            </w:r>
          </w:p>
        </w:tc>
      </w:tr>
    </w:tbl>
    <w:p>
      <w:pPr>
        <w:pStyle w:val="5"/>
        <w:ind w:firstLine="428" w:firstLineChars="204"/>
        <w:rPr>
          <w:rFonts w:hAnsi="宋体"/>
        </w:rPr>
      </w:pPr>
      <w:r>
        <w:rPr>
          <w:rFonts w:hint="eastAsia" w:hAnsi="宋体"/>
        </w:rPr>
        <w:t>注：缺项则该项得0分。</w:t>
      </w:r>
    </w:p>
    <w:bookmarkEnd w:id="0"/>
    <w:p>
      <w:pPr>
        <w:rPr>
          <w:rFonts w:ascii="宋体" w:hAnsi="宋体"/>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06349D"/>
    <w:multiLevelType w:val="singleLevel"/>
    <w:tmpl w:val="5406349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91"/>
    <w:rsid w:val="000A0F48"/>
    <w:rsid w:val="002524C2"/>
    <w:rsid w:val="00502D40"/>
    <w:rsid w:val="00D03491"/>
    <w:rsid w:val="34036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9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3"/>
    <w:unhideWhenUsed/>
    <w:qFormat/>
    <w:uiPriority w:val="99"/>
    <w:pPr>
      <w:spacing w:after="120"/>
    </w:pPr>
  </w:style>
  <w:style w:type="paragraph" w:styleId="5">
    <w:name w:val="Plain Text"/>
    <w:basedOn w:val="1"/>
    <w:link w:val="16"/>
    <w:qFormat/>
    <w:uiPriority w:val="99"/>
    <w:rPr>
      <w:rFonts w:ascii="宋体" w:hAnsi="Courier New" w:cs="Courier New"/>
      <w:szCs w:val="21"/>
    </w:rPr>
  </w:style>
  <w:style w:type="paragraph" w:customStyle="1" w:styleId="8">
    <w:name w:val="标题1"/>
    <w:basedOn w:val="1"/>
    <w:link w:val="9"/>
    <w:qFormat/>
    <w:uiPriority w:val="0"/>
    <w:pPr>
      <w:autoSpaceDE w:val="0"/>
      <w:autoSpaceDN w:val="0"/>
      <w:adjustRightInd w:val="0"/>
      <w:spacing w:after="240" w:afterLines="100" w:line="400" w:lineRule="exact"/>
      <w:jc w:val="center"/>
      <w:outlineLvl w:val="2"/>
    </w:pPr>
    <w:rPr>
      <w:rFonts w:ascii="宋体" w:hAnsi="宋体" w:cs="宋体"/>
      <w:b/>
      <w:bCs/>
      <w:sz w:val="32"/>
      <w:szCs w:val="32"/>
    </w:rPr>
  </w:style>
  <w:style w:type="character" w:customStyle="1" w:styleId="9">
    <w:name w:val="标题1 字符"/>
    <w:basedOn w:val="7"/>
    <w:link w:val="8"/>
    <w:qFormat/>
    <w:uiPriority w:val="0"/>
    <w:rPr>
      <w:rFonts w:ascii="宋体" w:hAnsi="宋体" w:eastAsia="宋体" w:cs="宋体"/>
      <w:b/>
      <w:bCs/>
      <w:sz w:val="32"/>
      <w:szCs w:val="32"/>
    </w:rPr>
  </w:style>
  <w:style w:type="paragraph" w:customStyle="1" w:styleId="10">
    <w:name w:val="标题2"/>
    <w:basedOn w:val="1"/>
    <w:link w:val="11"/>
    <w:qFormat/>
    <w:uiPriority w:val="0"/>
    <w:pPr>
      <w:autoSpaceDE w:val="0"/>
      <w:autoSpaceDN w:val="0"/>
      <w:adjustRightInd w:val="0"/>
      <w:spacing w:after="120" w:afterLines="50"/>
      <w:jc w:val="center"/>
      <w:outlineLvl w:val="4"/>
    </w:pPr>
    <w:rPr>
      <w:rFonts w:ascii="宋体" w:hAnsi="宋体" w:cs="黑体"/>
      <w:b/>
      <w:bCs/>
      <w:color w:val="000000"/>
      <w:kern w:val="0"/>
      <w:sz w:val="28"/>
      <w:szCs w:val="28"/>
    </w:rPr>
  </w:style>
  <w:style w:type="character" w:customStyle="1" w:styleId="11">
    <w:name w:val="标题2 字符"/>
    <w:basedOn w:val="7"/>
    <w:link w:val="10"/>
    <w:uiPriority w:val="0"/>
    <w:rPr>
      <w:rFonts w:ascii="宋体" w:hAnsi="宋体" w:eastAsia="宋体" w:cs="黑体"/>
      <w:b/>
      <w:bCs/>
      <w:color w:val="000000"/>
      <w:kern w:val="0"/>
      <w:sz w:val="28"/>
      <w:szCs w:val="28"/>
    </w:rPr>
  </w:style>
  <w:style w:type="character" w:customStyle="1" w:styleId="12">
    <w:name w:val="标题 2 字符"/>
    <w:basedOn w:val="7"/>
    <w:semiHidden/>
    <w:uiPriority w:val="9"/>
    <w:rPr>
      <w:rFonts w:asciiTheme="majorHAnsi" w:hAnsiTheme="majorHAnsi" w:eastAsiaTheme="majorEastAsia" w:cstheme="majorBidi"/>
      <w:b/>
      <w:bCs/>
      <w:sz w:val="32"/>
      <w:szCs w:val="32"/>
    </w:rPr>
  </w:style>
  <w:style w:type="character" w:customStyle="1" w:styleId="13">
    <w:name w:val="正文文本 字符"/>
    <w:basedOn w:val="7"/>
    <w:link w:val="2"/>
    <w:uiPriority w:val="99"/>
    <w:rPr>
      <w:rFonts w:ascii="Times New Roman" w:hAnsi="Times New Roman" w:eastAsia="宋体" w:cs="Times New Roman"/>
      <w:szCs w:val="24"/>
    </w:rPr>
  </w:style>
  <w:style w:type="character" w:customStyle="1" w:styleId="14">
    <w:name w:val="纯文本 字符"/>
    <w:basedOn w:val="7"/>
    <w:semiHidden/>
    <w:uiPriority w:val="99"/>
    <w:rPr>
      <w:rFonts w:hAnsi="Courier New" w:cs="Courier New" w:asciiTheme="minorEastAsia"/>
      <w:szCs w:val="24"/>
    </w:rPr>
  </w:style>
  <w:style w:type="character" w:customStyle="1" w:styleId="15">
    <w:name w:val="标题 2 字符1"/>
    <w:link w:val="3"/>
    <w:qFormat/>
    <w:uiPriority w:val="99"/>
    <w:rPr>
      <w:rFonts w:ascii="Arial" w:hAnsi="Arial" w:eastAsia="黑体" w:cs="Times New Roman"/>
      <w:b/>
      <w:bCs/>
      <w:sz w:val="32"/>
      <w:szCs w:val="32"/>
    </w:rPr>
  </w:style>
  <w:style w:type="character" w:customStyle="1" w:styleId="16">
    <w:name w:val="纯文本 字符1"/>
    <w:basedOn w:val="7"/>
    <w:link w:val="5"/>
    <w:qFormat/>
    <w:uiPriority w:val="99"/>
    <w:rPr>
      <w:rFonts w:ascii="宋体" w:hAnsi="Courier New" w:eastAsia="宋体" w:cs="Courier New"/>
      <w:szCs w:val="21"/>
    </w:rPr>
  </w:style>
  <w:style w:type="character" w:customStyle="1" w:styleId="17">
    <w:name w:val="正文文本 (2) + 10.5 pt"/>
    <w:basedOn w:val="7"/>
    <w:qFormat/>
    <w:uiPriority w:val="0"/>
    <w:rPr>
      <w:rFonts w:ascii="宋体" w:hAnsi="宋体" w:eastAsia="宋体" w:cs="宋体"/>
      <w:color w:val="000000"/>
      <w:spacing w:val="0"/>
      <w:w w:val="100"/>
      <w:position w:val="0"/>
      <w:sz w:val="21"/>
      <w:szCs w:val="21"/>
      <w:shd w:val="clear" w:color="auto" w:fill="FFFFFF"/>
      <w:lang w:val="zh-CN" w:eastAsia="zh-CN" w:bidi="zh-CN"/>
    </w:rPr>
  </w:style>
  <w:style w:type="paragraph" w:customStyle="1" w:styleId="18">
    <w:name w:val="样式30"/>
    <w:basedOn w:val="4"/>
    <w:qFormat/>
    <w:uiPriority w:val="0"/>
    <w:pPr>
      <w:spacing w:before="0" w:after="0" w:line="360" w:lineRule="auto"/>
      <w:ind w:firstLine="200" w:firstLineChars="200"/>
    </w:pPr>
    <w:rPr>
      <w:kern w:val="28"/>
      <w:sz w:val="24"/>
    </w:rPr>
  </w:style>
  <w:style w:type="character" w:customStyle="1" w:styleId="19">
    <w:name w:val="标题 3 字符"/>
    <w:basedOn w:val="7"/>
    <w:link w:val="4"/>
    <w:semiHidden/>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1408</Words>
  <Characters>8029</Characters>
  <Lines>66</Lines>
  <Paragraphs>18</Paragraphs>
  <TotalTime>3</TotalTime>
  <ScaleCrop>false</ScaleCrop>
  <LinksUpToDate>false</LinksUpToDate>
  <CharactersWithSpaces>9419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2021-11-27T09:21:00Z</dcterms:created>
  <dc:creator>蒋 旭洁</dc:creator>
  <cp:lastModifiedBy>Administrator</cp:lastModifiedBy>
  <dcterms:modified xsi:type="dcterms:W3CDTF">2021-11-29T06:46:36Z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9D4A1203D88E42F5964849F02B02F990</vt:lpwstr>
  </property>
</Properties>
</file>